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C7C1A">
      <w:pPr>
        <w:spacing w:line="360" w:lineRule="auto"/>
        <w:jc w:val="center"/>
        <w:rPr>
          <w:sz w:val="28"/>
          <w:szCs w:val="28"/>
        </w:rPr>
      </w:pPr>
      <w:r>
        <w:rPr>
          <w:rFonts w:hint="eastAsia" w:ascii="宋体"/>
          <w:sz w:val="32"/>
          <w:szCs w:val="32"/>
        </w:rPr>
        <w:t>采购需求</w:t>
      </w:r>
    </w:p>
    <w:p w14:paraId="0979ACAE">
      <w:pPr>
        <w:spacing w:line="360" w:lineRule="auto"/>
        <w:rPr>
          <w:rFonts w:ascii="宋体" w:hAnsi="宋体" w:cs="宋体"/>
          <w:b/>
          <w:color w:val="000000"/>
          <w:sz w:val="24"/>
        </w:rPr>
      </w:pPr>
      <w:r>
        <w:rPr>
          <w:rFonts w:hint="eastAsia" w:ascii="宋体" w:hAnsi="宋体" w:cs="宋体"/>
          <w:bCs/>
          <w:color w:val="000000"/>
          <w:sz w:val="24"/>
        </w:rPr>
        <w:t>1、项目名称：</w:t>
      </w:r>
      <w:r>
        <w:rPr>
          <w:rFonts w:hint="eastAsia" w:ascii="宋体" w:hAnsi="宋体" w:cs="宋体"/>
          <w:b/>
          <w:sz w:val="24"/>
        </w:rPr>
        <w:t>徐州市第一人民医院等保测评（2025年度）服务</w:t>
      </w:r>
    </w:p>
    <w:p w14:paraId="7DF526E8">
      <w:pPr>
        <w:snapToGrid w:val="0"/>
        <w:outlineLvl w:val="1"/>
        <w:rPr>
          <w:rFonts w:ascii="宋体" w:hAnsi="宋体" w:cs="宋体"/>
          <w:b/>
          <w:sz w:val="24"/>
        </w:rPr>
      </w:pPr>
      <w:r>
        <w:rPr>
          <w:rFonts w:ascii="宋体" w:hAnsi="宋体" w:cs="宋体"/>
          <w:b/>
          <w:sz w:val="24"/>
        </w:rPr>
        <w:t>2</w:t>
      </w:r>
      <w:r>
        <w:rPr>
          <w:rFonts w:hint="eastAsia" w:ascii="宋体" w:hAnsi="宋体" w:cs="宋体"/>
          <w:b/>
          <w:sz w:val="24"/>
        </w:rPr>
        <w:t>、项目目标</w:t>
      </w:r>
    </w:p>
    <w:p w14:paraId="0DC353E0">
      <w:pPr>
        <w:snapToGrid w:val="0"/>
        <w:ind w:firstLine="480" w:firstLineChars="200"/>
        <w:rPr>
          <w:rFonts w:ascii="宋体" w:hAnsi="宋体" w:cs="宋体"/>
          <w:bCs/>
          <w:sz w:val="24"/>
        </w:rPr>
      </w:pPr>
      <w:r>
        <w:rPr>
          <w:rFonts w:ascii="宋体" w:hAnsi="宋体" w:cs="宋体"/>
          <w:bCs/>
          <w:sz w:val="24"/>
        </w:rPr>
        <w:t>2</w:t>
      </w:r>
      <w:r>
        <w:rPr>
          <w:rFonts w:hint="eastAsia" w:ascii="宋体" w:hAnsi="宋体" w:cs="宋体"/>
          <w:bCs/>
          <w:sz w:val="24"/>
        </w:rPr>
        <w:t>.1、委托具备资质的第三方信息安全等级测评机构（以下简称“测评机构”）对单位拟定级的信息系统进行网络安全等级保护测评，查找与分析现有系统的安全防护能力的不足，编制等级保护测评报告，并协助采购方完成测评报告的备案。</w:t>
      </w:r>
    </w:p>
    <w:p w14:paraId="28E86E15">
      <w:pPr>
        <w:snapToGrid w:val="0"/>
        <w:ind w:firstLine="480" w:firstLineChars="200"/>
        <w:rPr>
          <w:rFonts w:ascii="宋体" w:hAnsi="宋体" w:cs="宋体"/>
          <w:bCs/>
          <w:sz w:val="24"/>
        </w:rPr>
      </w:pPr>
      <w:r>
        <w:rPr>
          <w:rFonts w:ascii="宋体" w:hAnsi="宋体" w:cs="宋体"/>
          <w:bCs/>
          <w:sz w:val="24"/>
        </w:rPr>
        <w:t>2</w:t>
      </w:r>
      <w:r>
        <w:rPr>
          <w:rFonts w:hint="eastAsia" w:ascii="宋体" w:hAnsi="宋体" w:cs="宋体"/>
          <w:bCs/>
          <w:sz w:val="24"/>
        </w:rPr>
        <w:t>.2、根据等级测评成果，由测评机构提出合理可行的安全整改建议，协助甲方进行安全管理与安全技术两方面的整改工作。</w:t>
      </w:r>
    </w:p>
    <w:p w14:paraId="391D2264">
      <w:pPr>
        <w:snapToGrid w:val="0"/>
        <w:ind w:firstLine="480" w:firstLineChars="200"/>
        <w:rPr>
          <w:rFonts w:ascii="宋体" w:hAnsi="宋体" w:cs="宋体"/>
          <w:bCs/>
          <w:sz w:val="24"/>
        </w:rPr>
      </w:pPr>
      <w:r>
        <w:rPr>
          <w:rFonts w:hint="eastAsia" w:ascii="宋体" w:hAnsi="宋体" w:cs="宋体"/>
          <w:bCs/>
          <w:sz w:val="24"/>
        </w:rPr>
        <w:t>本次项目中待测评系统清单如下：</w:t>
      </w:r>
    </w:p>
    <w:p w14:paraId="4894E373">
      <w:pPr>
        <w:pStyle w:val="2"/>
        <w:spacing w:line="400" w:lineRule="exact"/>
        <w:jc w:val="left"/>
        <w:rPr>
          <w:rFonts w:ascii="宋体" w:hAnsi="宋体" w:eastAsia="宋体" w:cs="宋体"/>
          <w:b/>
          <w:sz w:val="24"/>
        </w:rPr>
      </w:pPr>
      <w:r>
        <w:rPr>
          <w:rFonts w:hint="eastAsia" w:ascii="宋体" w:hAnsi="宋体" w:eastAsia="宋体" w:cs="宋体"/>
          <w:b/>
          <w:sz w:val="24"/>
        </w:rPr>
        <w:t>三级系统（</w:t>
      </w:r>
      <w:r>
        <w:rPr>
          <w:rFonts w:ascii="宋体" w:hAnsi="宋体" w:eastAsia="宋体" w:cs="宋体"/>
          <w:b/>
          <w:sz w:val="24"/>
        </w:rPr>
        <w:t>2</w:t>
      </w:r>
      <w:r>
        <w:rPr>
          <w:rFonts w:hint="eastAsia" w:ascii="宋体" w:hAnsi="宋体" w:eastAsia="宋体" w:cs="宋体"/>
          <w:b/>
          <w:sz w:val="24"/>
        </w:rPr>
        <w:t>个）：</w:t>
      </w:r>
      <w:r>
        <w:rPr>
          <w:rFonts w:ascii="宋体" w:hAnsi="宋体" w:eastAsia="宋体" w:cs="宋体"/>
          <w:b/>
          <w:sz w:val="24"/>
        </w:rPr>
        <w:t xml:space="preserve"> </w:t>
      </w:r>
      <w:r>
        <w:rPr>
          <w:rFonts w:hint="eastAsia" w:ascii="宋体" w:hAnsi="宋体" w:eastAsia="宋体" w:cs="宋体"/>
          <w:b/>
          <w:sz w:val="24"/>
        </w:rPr>
        <w:t>智慧医疗信息系统、信息集成平台系统</w:t>
      </w:r>
    </w:p>
    <w:p w14:paraId="3212C4C4">
      <w:pPr>
        <w:snapToGrid w:val="0"/>
        <w:ind w:firstLine="482" w:firstLineChars="200"/>
        <w:outlineLvl w:val="1"/>
        <w:rPr>
          <w:rFonts w:ascii="宋体" w:hAnsi="宋体" w:cs="宋体"/>
          <w:b/>
          <w:sz w:val="24"/>
        </w:rPr>
      </w:pPr>
      <w:r>
        <w:rPr>
          <w:rFonts w:ascii="宋体" w:hAnsi="宋体" w:cs="宋体"/>
          <w:b/>
          <w:sz w:val="24"/>
        </w:rPr>
        <w:t>3</w:t>
      </w:r>
      <w:r>
        <w:rPr>
          <w:rFonts w:hint="eastAsia" w:ascii="宋体" w:hAnsi="宋体" w:cs="宋体"/>
          <w:b/>
          <w:sz w:val="24"/>
        </w:rPr>
        <w:t>、项目具体内容</w:t>
      </w:r>
    </w:p>
    <w:p w14:paraId="5970225D">
      <w:pPr>
        <w:ind w:firstLine="480" w:firstLineChars="200"/>
      </w:pPr>
      <w:r>
        <w:rPr>
          <w:rStyle w:val="9"/>
          <w:rFonts w:ascii="宋体" w:hAnsi="宋体"/>
          <w:sz w:val="24"/>
        </w:rPr>
        <w:t>3</w:t>
      </w:r>
      <w:r>
        <w:rPr>
          <w:rStyle w:val="9"/>
          <w:rFonts w:hint="eastAsia" w:ascii="宋体" w:hAnsi="宋体"/>
          <w:sz w:val="24"/>
        </w:rPr>
        <w:t>.1</w:t>
      </w:r>
      <w:r>
        <w:rPr>
          <w:rStyle w:val="9"/>
          <w:rFonts w:ascii="宋体" w:hAnsi="宋体"/>
          <w:sz w:val="24"/>
        </w:rPr>
        <w:t>开展信息系统安全等级保护测评。根据《信息安全等级保护管理办法》等标准规范要求，对</w:t>
      </w:r>
      <w:r>
        <w:rPr>
          <w:rStyle w:val="9"/>
          <w:rFonts w:hint="eastAsia" w:ascii="宋体" w:hAnsi="宋体"/>
          <w:sz w:val="24"/>
        </w:rPr>
        <w:t>徐州市</w:t>
      </w:r>
      <w:r>
        <w:rPr>
          <w:rStyle w:val="9"/>
          <w:rFonts w:hint="eastAsia"/>
        </w:rPr>
        <w:t>第一人民医院</w:t>
      </w:r>
      <w:r>
        <w:rPr>
          <w:rStyle w:val="9"/>
          <w:rFonts w:ascii="宋体" w:hAnsi="宋体"/>
          <w:sz w:val="24"/>
        </w:rPr>
        <w:t>信息系统开展等级保护测评工作；具体测评内容包括但不限于：</w:t>
      </w:r>
    </w:p>
    <w:p w14:paraId="32EE7F3F">
      <w:pPr>
        <w:snapToGrid w:val="0"/>
        <w:ind w:firstLine="480" w:firstLineChars="200"/>
        <w:outlineLvl w:val="2"/>
        <w:rPr>
          <w:rFonts w:ascii="宋体" w:hAnsi="宋体" w:cs="宋体"/>
          <w:bCs/>
          <w:sz w:val="24"/>
        </w:rPr>
      </w:pPr>
      <w:r>
        <w:rPr>
          <w:rFonts w:hint="eastAsia" w:ascii="宋体" w:hAnsi="宋体" w:cs="宋体"/>
          <w:bCs/>
          <w:sz w:val="24"/>
        </w:rPr>
        <w:t>（1）安全物理环境</w:t>
      </w:r>
    </w:p>
    <w:p w14:paraId="4CCFD15F">
      <w:pPr>
        <w:snapToGrid w:val="0"/>
        <w:ind w:firstLine="480" w:firstLineChars="200"/>
        <w:rPr>
          <w:rFonts w:ascii="宋体" w:hAnsi="宋体" w:cs="宋体"/>
          <w:bCs/>
          <w:sz w:val="24"/>
        </w:rPr>
      </w:pPr>
      <w:r>
        <w:rPr>
          <w:rFonts w:hint="eastAsia" w:ascii="宋体" w:hAnsi="宋体" w:cs="宋体"/>
          <w:bCs/>
          <w:sz w:val="24"/>
        </w:rPr>
        <w:t>测评内容主要包括：物理位置的选择、物理访问控制、防盗窃和防破坏、防雷击、防火、防水和防潮、防静电、温湿度控制、电力供应、电磁防护等。</w:t>
      </w:r>
    </w:p>
    <w:p w14:paraId="5E02DC27">
      <w:pPr>
        <w:snapToGrid w:val="0"/>
        <w:ind w:firstLine="480" w:firstLineChars="200"/>
        <w:outlineLvl w:val="2"/>
        <w:rPr>
          <w:rFonts w:ascii="宋体" w:hAnsi="宋体" w:cs="宋体"/>
          <w:bCs/>
          <w:sz w:val="24"/>
        </w:rPr>
      </w:pPr>
      <w:r>
        <w:rPr>
          <w:rFonts w:hint="eastAsia" w:ascii="宋体" w:hAnsi="宋体" w:cs="宋体"/>
          <w:bCs/>
          <w:sz w:val="24"/>
        </w:rPr>
        <w:t>（2）安全通信网络</w:t>
      </w:r>
    </w:p>
    <w:p w14:paraId="6045CFFA">
      <w:pPr>
        <w:snapToGrid w:val="0"/>
        <w:ind w:firstLine="480" w:firstLineChars="200"/>
        <w:rPr>
          <w:rFonts w:ascii="宋体" w:hAnsi="宋体" w:cs="宋体"/>
          <w:bCs/>
          <w:sz w:val="24"/>
        </w:rPr>
      </w:pPr>
      <w:r>
        <w:rPr>
          <w:rFonts w:hint="eastAsia" w:ascii="宋体" w:hAnsi="宋体" w:cs="宋体"/>
          <w:bCs/>
          <w:sz w:val="24"/>
        </w:rPr>
        <w:t>测评内容主要包括：网络架构、通信传输、可信验证等。</w:t>
      </w:r>
    </w:p>
    <w:p w14:paraId="238002D9">
      <w:pPr>
        <w:snapToGrid w:val="0"/>
        <w:ind w:firstLine="480" w:firstLineChars="200"/>
        <w:outlineLvl w:val="2"/>
        <w:rPr>
          <w:rFonts w:ascii="宋体" w:hAnsi="宋体" w:cs="宋体"/>
          <w:bCs/>
          <w:sz w:val="24"/>
        </w:rPr>
      </w:pPr>
      <w:r>
        <w:rPr>
          <w:rFonts w:hint="eastAsia" w:ascii="宋体" w:hAnsi="宋体" w:cs="宋体"/>
          <w:bCs/>
          <w:sz w:val="24"/>
        </w:rPr>
        <w:t>（3）安全区域边界</w:t>
      </w:r>
    </w:p>
    <w:p w14:paraId="418F7851">
      <w:pPr>
        <w:snapToGrid w:val="0"/>
        <w:ind w:firstLine="480" w:firstLineChars="200"/>
        <w:rPr>
          <w:rFonts w:ascii="宋体" w:hAnsi="宋体" w:cs="宋体"/>
          <w:bCs/>
          <w:sz w:val="24"/>
        </w:rPr>
      </w:pPr>
      <w:r>
        <w:rPr>
          <w:rFonts w:hint="eastAsia" w:ascii="宋体" w:hAnsi="宋体" w:cs="宋体"/>
          <w:bCs/>
          <w:sz w:val="24"/>
        </w:rPr>
        <w:t>测评内容主要包括：边界防护、访问控制、入侵防范、恶意代码和垃圾邮件防范、安全审计、可信验证等。</w:t>
      </w:r>
    </w:p>
    <w:p w14:paraId="228CC237">
      <w:pPr>
        <w:snapToGrid w:val="0"/>
        <w:ind w:firstLine="480" w:firstLineChars="200"/>
        <w:outlineLvl w:val="2"/>
        <w:rPr>
          <w:rFonts w:ascii="宋体" w:hAnsi="宋体" w:cs="宋体"/>
          <w:bCs/>
          <w:sz w:val="24"/>
        </w:rPr>
      </w:pPr>
      <w:r>
        <w:rPr>
          <w:rFonts w:hint="eastAsia" w:ascii="宋体" w:hAnsi="宋体" w:cs="宋体"/>
          <w:bCs/>
          <w:sz w:val="24"/>
        </w:rPr>
        <w:t>（4）安全计算环境</w:t>
      </w:r>
    </w:p>
    <w:p w14:paraId="4E2C4F76">
      <w:pPr>
        <w:snapToGrid w:val="0"/>
        <w:ind w:firstLine="480" w:firstLineChars="200"/>
        <w:rPr>
          <w:rFonts w:ascii="宋体" w:hAnsi="宋体" w:cs="宋体"/>
          <w:bCs/>
          <w:sz w:val="24"/>
        </w:rPr>
      </w:pPr>
      <w:r>
        <w:rPr>
          <w:rFonts w:hint="eastAsia" w:ascii="宋体" w:hAnsi="宋体" w:cs="宋体"/>
          <w:bCs/>
          <w:sz w:val="24"/>
        </w:rPr>
        <w:t>测评内容主要包括：身份鉴别、访问控制、安全审计、入侵防范、恶意代码防范、可信验证、数据保密性、数据完整性、数据备份恢复、剩余信息保护、个人信息保护等。</w:t>
      </w:r>
    </w:p>
    <w:p w14:paraId="0E3DF932">
      <w:pPr>
        <w:snapToGrid w:val="0"/>
        <w:ind w:firstLine="480" w:firstLineChars="200"/>
        <w:outlineLvl w:val="2"/>
        <w:rPr>
          <w:rFonts w:ascii="宋体" w:hAnsi="宋体" w:cs="宋体"/>
          <w:bCs/>
          <w:sz w:val="24"/>
        </w:rPr>
      </w:pPr>
      <w:r>
        <w:rPr>
          <w:rFonts w:hint="eastAsia" w:ascii="宋体" w:hAnsi="宋体" w:cs="宋体"/>
          <w:bCs/>
          <w:sz w:val="24"/>
        </w:rPr>
        <w:t>（5）安全管理中心</w:t>
      </w:r>
    </w:p>
    <w:p w14:paraId="0F494BD4">
      <w:pPr>
        <w:snapToGrid w:val="0"/>
        <w:ind w:firstLine="480" w:firstLineChars="200"/>
        <w:rPr>
          <w:rFonts w:ascii="宋体" w:hAnsi="宋体" w:cs="宋体"/>
          <w:bCs/>
          <w:sz w:val="24"/>
        </w:rPr>
      </w:pPr>
      <w:r>
        <w:rPr>
          <w:rFonts w:hint="eastAsia" w:ascii="宋体" w:hAnsi="宋体" w:cs="宋体"/>
          <w:bCs/>
          <w:sz w:val="24"/>
        </w:rPr>
        <w:t>测评内容主要包括：系统管理、审计管理、安全管理、集中管控等。</w:t>
      </w:r>
    </w:p>
    <w:p w14:paraId="5509B6E3">
      <w:pPr>
        <w:snapToGrid w:val="0"/>
        <w:ind w:firstLine="480" w:firstLineChars="200"/>
        <w:outlineLvl w:val="2"/>
        <w:rPr>
          <w:rFonts w:ascii="宋体" w:hAnsi="宋体" w:cs="宋体"/>
          <w:bCs/>
          <w:sz w:val="24"/>
        </w:rPr>
      </w:pPr>
      <w:r>
        <w:rPr>
          <w:rFonts w:hint="eastAsia" w:ascii="宋体" w:hAnsi="宋体" w:cs="宋体"/>
          <w:bCs/>
          <w:sz w:val="24"/>
        </w:rPr>
        <w:t>（6）安全管理机构</w:t>
      </w:r>
    </w:p>
    <w:p w14:paraId="73DDF6EB">
      <w:pPr>
        <w:snapToGrid w:val="0"/>
        <w:ind w:firstLine="480" w:firstLineChars="200"/>
        <w:rPr>
          <w:rFonts w:ascii="宋体" w:hAnsi="宋体" w:cs="宋体"/>
          <w:bCs/>
          <w:sz w:val="24"/>
        </w:rPr>
      </w:pPr>
      <w:r>
        <w:rPr>
          <w:rFonts w:hint="eastAsia" w:ascii="宋体" w:hAnsi="宋体" w:cs="宋体"/>
          <w:bCs/>
          <w:sz w:val="24"/>
        </w:rPr>
        <w:t>测评内容主要包括：安全管理机构设置、人员配备及职责、安全授权和审批、安全沟通和合作、安全审核和检查等。</w:t>
      </w:r>
    </w:p>
    <w:p w14:paraId="3975A67F">
      <w:pPr>
        <w:snapToGrid w:val="0"/>
        <w:ind w:firstLine="480" w:firstLineChars="200"/>
        <w:rPr>
          <w:rFonts w:ascii="宋体" w:hAnsi="宋体" w:cs="宋体"/>
          <w:bCs/>
          <w:sz w:val="24"/>
        </w:rPr>
      </w:pPr>
      <w:r>
        <w:rPr>
          <w:rFonts w:hint="eastAsia" w:ascii="宋体" w:hAnsi="宋体" w:cs="宋体"/>
          <w:bCs/>
          <w:sz w:val="24"/>
        </w:rPr>
        <w:t>涉及信息安全工作领导小组、人员岗位设置、相关日常工作执行情况等。</w:t>
      </w:r>
    </w:p>
    <w:p w14:paraId="264F43F8">
      <w:pPr>
        <w:snapToGrid w:val="0"/>
        <w:ind w:firstLine="480" w:firstLineChars="200"/>
        <w:outlineLvl w:val="2"/>
        <w:rPr>
          <w:rFonts w:ascii="宋体" w:hAnsi="宋体" w:cs="宋体"/>
          <w:bCs/>
          <w:sz w:val="24"/>
        </w:rPr>
      </w:pPr>
      <w:r>
        <w:rPr>
          <w:rFonts w:hint="eastAsia" w:ascii="宋体" w:hAnsi="宋体" w:cs="宋体"/>
          <w:bCs/>
          <w:sz w:val="24"/>
        </w:rPr>
        <w:t>（7）安全管理制度</w:t>
      </w:r>
    </w:p>
    <w:p w14:paraId="20F67856">
      <w:pPr>
        <w:snapToGrid w:val="0"/>
        <w:ind w:firstLine="480" w:firstLineChars="200"/>
        <w:rPr>
          <w:rFonts w:ascii="宋体" w:hAnsi="宋体" w:cs="宋体"/>
          <w:bCs/>
          <w:sz w:val="24"/>
        </w:rPr>
      </w:pPr>
      <w:r>
        <w:rPr>
          <w:rFonts w:hint="eastAsia" w:ascii="宋体" w:hAnsi="宋体" w:cs="宋体"/>
          <w:bCs/>
          <w:sz w:val="24"/>
        </w:rPr>
        <w:t>测评内容主要包括：安全管理制度内容、制度的制定与发布、制度的评审和修订等。</w:t>
      </w:r>
    </w:p>
    <w:p w14:paraId="1F3A201E">
      <w:pPr>
        <w:snapToGrid w:val="0"/>
        <w:ind w:firstLine="480" w:firstLineChars="200"/>
        <w:rPr>
          <w:rFonts w:ascii="宋体" w:hAnsi="宋体" w:cs="宋体"/>
          <w:bCs/>
          <w:sz w:val="24"/>
        </w:rPr>
      </w:pPr>
      <w:r>
        <w:rPr>
          <w:rFonts w:hint="eastAsia" w:ascii="宋体" w:hAnsi="宋体" w:cs="宋体"/>
          <w:bCs/>
          <w:sz w:val="24"/>
        </w:rPr>
        <w:t>涉及信息安全的总体方针、安全策略、管理制度、操作规程等。</w:t>
      </w:r>
    </w:p>
    <w:p w14:paraId="4E64728A">
      <w:pPr>
        <w:snapToGrid w:val="0"/>
        <w:ind w:firstLine="480" w:firstLineChars="200"/>
        <w:outlineLvl w:val="2"/>
        <w:rPr>
          <w:rFonts w:ascii="宋体" w:hAnsi="宋体" w:cs="宋体"/>
          <w:bCs/>
          <w:sz w:val="24"/>
        </w:rPr>
      </w:pPr>
      <w:r>
        <w:rPr>
          <w:rFonts w:hint="eastAsia" w:ascii="宋体" w:hAnsi="宋体" w:cs="宋体"/>
          <w:bCs/>
          <w:sz w:val="24"/>
        </w:rPr>
        <w:t>（8）安全管理人员</w:t>
      </w:r>
    </w:p>
    <w:p w14:paraId="0AA32E18">
      <w:pPr>
        <w:snapToGrid w:val="0"/>
        <w:ind w:firstLine="480" w:firstLineChars="200"/>
        <w:rPr>
          <w:rFonts w:ascii="宋体" w:hAnsi="宋体" w:cs="宋体"/>
          <w:bCs/>
          <w:sz w:val="24"/>
        </w:rPr>
      </w:pPr>
      <w:r>
        <w:rPr>
          <w:rFonts w:hint="eastAsia" w:ascii="宋体" w:hAnsi="宋体" w:cs="宋体"/>
          <w:bCs/>
          <w:sz w:val="24"/>
        </w:rPr>
        <w:t>测评内容主要包括：人员岗位管理、人员培训与考核、人员安全意识教育、外部人员访问管理等。</w:t>
      </w:r>
    </w:p>
    <w:p w14:paraId="087CAC6E">
      <w:pPr>
        <w:snapToGrid w:val="0"/>
        <w:ind w:firstLine="480" w:firstLineChars="200"/>
        <w:rPr>
          <w:rFonts w:ascii="宋体" w:hAnsi="宋体" w:cs="宋体"/>
          <w:bCs/>
          <w:sz w:val="24"/>
        </w:rPr>
      </w:pPr>
      <w:r>
        <w:rPr>
          <w:rFonts w:hint="eastAsia" w:ascii="宋体" w:hAnsi="宋体" w:cs="宋体"/>
          <w:bCs/>
          <w:sz w:val="24"/>
        </w:rPr>
        <w:t>涉及安全相关人员，如安全主管、人事主管、运维主管、网络安全管理员、主机安全管理员、应用安全管理员、机房值班人员、资产管理人员、文档管理员等。</w:t>
      </w:r>
    </w:p>
    <w:p w14:paraId="243E690E">
      <w:pPr>
        <w:snapToGrid w:val="0"/>
        <w:ind w:firstLine="480" w:firstLineChars="200"/>
        <w:outlineLvl w:val="2"/>
        <w:rPr>
          <w:rFonts w:ascii="宋体" w:hAnsi="宋体" w:cs="宋体"/>
          <w:bCs/>
          <w:sz w:val="24"/>
        </w:rPr>
      </w:pPr>
      <w:r>
        <w:rPr>
          <w:rFonts w:hint="eastAsia" w:ascii="宋体" w:hAnsi="宋体" w:cs="宋体"/>
          <w:bCs/>
          <w:sz w:val="24"/>
        </w:rPr>
        <w:t>（9）安全建设管理</w:t>
      </w:r>
    </w:p>
    <w:p w14:paraId="48A556DC">
      <w:pPr>
        <w:snapToGrid w:val="0"/>
        <w:ind w:firstLine="480" w:firstLineChars="200"/>
        <w:rPr>
          <w:rFonts w:ascii="宋体" w:hAnsi="宋体" w:cs="宋体"/>
          <w:bCs/>
          <w:sz w:val="24"/>
        </w:rPr>
      </w:pPr>
      <w:r>
        <w:rPr>
          <w:rFonts w:hint="eastAsia" w:ascii="宋体" w:hAnsi="宋体" w:cs="宋体"/>
          <w:bCs/>
          <w:sz w:val="24"/>
        </w:rPr>
        <w:t>测评内容主要包括：安全设计管理、产品采购使用管理、自行软件开发管理、外包软件开发管理、安全工程实施管理、安全测试验收管理、安全系统交付管理、安全服务选择管理等。</w:t>
      </w:r>
    </w:p>
    <w:p w14:paraId="4DF45738">
      <w:pPr>
        <w:snapToGrid w:val="0"/>
        <w:ind w:firstLine="480" w:firstLineChars="200"/>
        <w:rPr>
          <w:rFonts w:ascii="宋体" w:hAnsi="宋体" w:cs="宋体"/>
          <w:bCs/>
          <w:sz w:val="24"/>
        </w:rPr>
      </w:pPr>
      <w:r>
        <w:rPr>
          <w:rFonts w:hint="eastAsia" w:ascii="宋体" w:hAnsi="宋体" w:cs="宋体"/>
          <w:bCs/>
          <w:sz w:val="24"/>
        </w:rPr>
        <w:t>涉及系统总体安全策略、安全技术框架、安全管理策略、总体建设规划、详细设计方案等配套文件，以及产品采购、软件开发、工程管理与交付验收等相关流程与配套文件等。</w:t>
      </w:r>
    </w:p>
    <w:p w14:paraId="11382080">
      <w:pPr>
        <w:snapToGrid w:val="0"/>
        <w:ind w:firstLine="480" w:firstLineChars="200"/>
        <w:outlineLvl w:val="2"/>
        <w:rPr>
          <w:rFonts w:ascii="宋体" w:hAnsi="宋体" w:cs="宋体"/>
          <w:bCs/>
          <w:sz w:val="24"/>
        </w:rPr>
      </w:pPr>
      <w:r>
        <w:rPr>
          <w:rFonts w:hint="eastAsia" w:ascii="宋体" w:hAnsi="宋体" w:cs="宋体"/>
          <w:bCs/>
          <w:sz w:val="24"/>
        </w:rPr>
        <w:t>（10）安全运维管理</w:t>
      </w:r>
    </w:p>
    <w:p w14:paraId="3A55C534">
      <w:pPr>
        <w:snapToGrid w:val="0"/>
        <w:ind w:firstLine="480" w:firstLineChars="200"/>
        <w:rPr>
          <w:rFonts w:ascii="宋体" w:hAnsi="宋体" w:cs="宋体"/>
          <w:bCs/>
          <w:sz w:val="24"/>
        </w:rPr>
      </w:pPr>
      <w:r>
        <w:rPr>
          <w:rFonts w:hint="eastAsia" w:ascii="宋体" w:hAnsi="宋体" w:cs="宋体"/>
          <w:bCs/>
          <w:sz w:val="24"/>
        </w:rPr>
        <w:t>测评内容主要包括：运行环境管理、资产管理、存储介质管理、设备管理、安全审计管理、入侵防范管理、网络安全管理、主机系统安全管理、用户授权管理、备份与恢复管理、恶意代码防范管理、安全事件处置管理、应急响应管理等。</w:t>
      </w:r>
    </w:p>
    <w:p w14:paraId="1DC4405C">
      <w:pPr>
        <w:snapToGrid w:val="0"/>
        <w:ind w:firstLine="480" w:firstLineChars="200"/>
        <w:rPr>
          <w:rFonts w:ascii="宋体" w:hAnsi="宋体" w:cs="宋体"/>
          <w:bCs/>
          <w:sz w:val="24"/>
        </w:rPr>
      </w:pPr>
      <w:r>
        <w:rPr>
          <w:rFonts w:hint="eastAsia" w:ascii="宋体" w:hAnsi="宋体" w:cs="宋体"/>
          <w:bCs/>
          <w:sz w:val="24"/>
        </w:rPr>
        <w:t>涉及系统运维管理方面的流程、措施、制度、文档等。</w:t>
      </w:r>
    </w:p>
    <w:p w14:paraId="7D139C2C">
      <w:pPr>
        <w:snapToGrid w:val="0"/>
        <w:ind w:firstLine="480" w:firstLineChars="200"/>
        <w:rPr>
          <w:rFonts w:ascii="宋体" w:hAnsi="宋体" w:cs="宋体"/>
          <w:bCs/>
          <w:sz w:val="24"/>
        </w:rPr>
      </w:pPr>
      <w:r>
        <w:rPr>
          <w:rFonts w:hint="eastAsia" w:ascii="宋体" w:hAnsi="宋体" w:cs="宋体"/>
          <w:bCs/>
          <w:sz w:val="24"/>
        </w:rPr>
        <w:t>项目正式启动后将向测评机构提供详细资产清单与网络拓扑结构图。</w:t>
      </w:r>
    </w:p>
    <w:p w14:paraId="513B395E">
      <w:pPr>
        <w:snapToGrid w:val="0"/>
        <w:ind w:firstLine="480" w:firstLineChars="200"/>
        <w:rPr>
          <w:rFonts w:ascii="宋体" w:hAnsi="宋体" w:cs="宋体"/>
          <w:bCs/>
          <w:sz w:val="24"/>
        </w:rPr>
      </w:pPr>
      <w:r>
        <w:rPr>
          <w:rFonts w:ascii="宋体" w:hAnsi="宋体" w:cs="宋体"/>
          <w:bCs/>
          <w:sz w:val="24"/>
        </w:rPr>
        <w:t>3</w:t>
      </w:r>
      <w:r>
        <w:rPr>
          <w:rFonts w:hint="eastAsia" w:ascii="宋体" w:hAnsi="宋体" w:cs="宋体"/>
          <w:bCs/>
          <w:sz w:val="24"/>
        </w:rPr>
        <w:t>.2从系统现状出发，依据《信息系统安全等级保护测评要求》等技术标准进行差距分析，明确甲方重要信息系统中存在的风险和相关脆弱点，并针对系统存在的主要问题提出安全建设、整改建议，制订《系统安全建设整改建议》。</w:t>
      </w:r>
    </w:p>
    <w:p w14:paraId="63078628">
      <w:pPr>
        <w:snapToGrid w:val="0"/>
        <w:ind w:firstLine="480" w:firstLineChars="200"/>
        <w:rPr>
          <w:rFonts w:ascii="宋体" w:hAnsi="宋体" w:cs="宋体"/>
          <w:bCs/>
          <w:sz w:val="24"/>
        </w:rPr>
      </w:pPr>
      <w:r>
        <w:rPr>
          <w:rFonts w:ascii="宋体" w:hAnsi="宋体" w:cs="宋体"/>
          <w:bCs/>
          <w:sz w:val="24"/>
        </w:rPr>
        <w:t>3</w:t>
      </w:r>
      <w:r>
        <w:rPr>
          <w:rFonts w:hint="eastAsia" w:ascii="宋体" w:hAnsi="宋体" w:cs="宋体"/>
          <w:bCs/>
          <w:sz w:val="24"/>
        </w:rPr>
        <w:t>.3开展信息安全等级保护安全管理制度建设，提高信息系统安全管理水平。按照《信息安全等级保护管理办法》、《信息系统安全等级保护基本要求》，参照《信息系统安全管理要求》、《信息系统安全工程管理要求》等标准规范要求，建立健全并落实符合相应等级要求的安全管理制度。</w:t>
      </w:r>
    </w:p>
    <w:p w14:paraId="4011D938">
      <w:pPr>
        <w:snapToGrid w:val="0"/>
        <w:ind w:firstLine="482" w:firstLineChars="200"/>
        <w:outlineLvl w:val="1"/>
        <w:rPr>
          <w:rFonts w:ascii="宋体" w:hAnsi="宋体" w:cs="宋体"/>
          <w:b/>
          <w:sz w:val="24"/>
        </w:rPr>
      </w:pPr>
      <w:r>
        <w:rPr>
          <w:rFonts w:ascii="宋体" w:hAnsi="宋体" w:cs="宋体"/>
          <w:b/>
          <w:sz w:val="24"/>
        </w:rPr>
        <w:t>4</w:t>
      </w:r>
      <w:r>
        <w:rPr>
          <w:rFonts w:hint="eastAsia" w:ascii="宋体" w:hAnsi="宋体" w:cs="宋体"/>
          <w:b/>
          <w:sz w:val="24"/>
        </w:rPr>
        <w:t>、网络安全保障服务</w:t>
      </w:r>
    </w:p>
    <w:p w14:paraId="4765375B">
      <w:pPr>
        <w:pStyle w:val="2"/>
        <w:ind w:firstLine="480" w:firstLineChars="200"/>
        <w:jc w:val="left"/>
      </w:pPr>
      <w:r>
        <w:rPr>
          <w:rFonts w:ascii="宋体" w:hAnsi="宋体" w:eastAsia="宋体" w:cs="宋体"/>
          <w:bCs/>
          <w:sz w:val="24"/>
        </w:rPr>
        <w:t>4</w:t>
      </w:r>
      <w:r>
        <w:rPr>
          <w:rFonts w:hint="eastAsia" w:ascii="宋体" w:hAnsi="宋体" w:eastAsia="宋体" w:cs="宋体"/>
          <w:bCs/>
          <w:sz w:val="24"/>
        </w:rPr>
        <w:t>.1、等级保护要求</w:t>
      </w:r>
    </w:p>
    <w:p w14:paraId="525BF6AF">
      <w:pPr>
        <w:widowControl/>
        <w:ind w:firstLine="480" w:firstLineChars="200"/>
        <w:textAlignment w:val="baseline"/>
        <w:rPr>
          <w:rFonts w:ascii="宋体" w:hAnsi="宋体" w:cs="宋体"/>
          <w:bCs/>
          <w:sz w:val="24"/>
        </w:rPr>
      </w:pPr>
      <w:r>
        <w:rPr>
          <w:rFonts w:hint="eastAsia" w:ascii="宋体" w:hAnsi="宋体" w:cs="宋体"/>
          <w:bCs/>
          <w:sz w:val="24"/>
        </w:rPr>
        <w:t>（1）测评完成之后，提供《系统信息安全等级保护测评报告》和《系统信息安全等级保护整改方案》（每个系统一份）。</w:t>
      </w:r>
    </w:p>
    <w:p w14:paraId="2D1386D8">
      <w:pPr>
        <w:widowControl/>
        <w:ind w:firstLine="480" w:firstLineChars="200"/>
        <w:textAlignment w:val="baseline"/>
        <w:rPr>
          <w:rFonts w:ascii="宋体" w:hAnsi="宋体" w:cs="宋体"/>
          <w:bCs/>
          <w:sz w:val="24"/>
        </w:rPr>
      </w:pPr>
      <w:r>
        <w:rPr>
          <w:rFonts w:hint="eastAsia" w:ascii="宋体" w:hAnsi="宋体" w:cs="宋体"/>
          <w:bCs/>
          <w:sz w:val="24"/>
        </w:rPr>
        <w:t>（2）为业主提供次2信息安全技术培训。</w:t>
      </w:r>
    </w:p>
    <w:p w14:paraId="4129CE2B">
      <w:pPr>
        <w:widowControl/>
        <w:ind w:firstLine="480" w:firstLineChars="200"/>
        <w:textAlignment w:val="baseline"/>
        <w:rPr>
          <w:rFonts w:ascii="宋体" w:hAnsi="宋体" w:cs="宋体"/>
          <w:bCs/>
          <w:sz w:val="24"/>
        </w:rPr>
      </w:pPr>
      <w:r>
        <w:rPr>
          <w:rFonts w:hint="eastAsia" w:ascii="宋体" w:hAnsi="宋体" w:cs="宋体"/>
          <w:bCs/>
          <w:sz w:val="24"/>
        </w:rPr>
        <w:t>（2）为业主提供次</w:t>
      </w:r>
      <w:r>
        <w:rPr>
          <w:rFonts w:hint="eastAsia" w:ascii="宋体" w:hAnsi="宋体" w:cs="宋体"/>
          <w:color w:val="000000" w:themeColor="text1"/>
          <w:sz w:val="24"/>
          <w14:textFill>
            <w14:solidFill>
              <w14:schemeClr w14:val="tx1"/>
            </w14:solidFill>
          </w14:textFill>
        </w:rPr>
        <w:t>漏洞扫描、渗透测试服务</w:t>
      </w:r>
      <w:r>
        <w:rPr>
          <w:rFonts w:hint="eastAsia" w:ascii="宋体" w:hAnsi="宋体" w:cs="宋体"/>
          <w:bCs/>
          <w:sz w:val="24"/>
        </w:rPr>
        <w:t>。</w:t>
      </w:r>
    </w:p>
    <w:p w14:paraId="4BC7C73C">
      <w:pPr>
        <w:pStyle w:val="2"/>
        <w:ind w:firstLine="480" w:firstLineChars="200"/>
        <w:jc w:val="left"/>
        <w:rPr>
          <w:rFonts w:ascii="宋体" w:hAnsi="宋体" w:eastAsia="宋体" w:cs="宋体"/>
          <w:bCs/>
          <w:sz w:val="24"/>
        </w:rPr>
      </w:pPr>
      <w:r>
        <w:rPr>
          <w:rFonts w:ascii="宋体" w:hAnsi="宋体" w:eastAsia="宋体" w:cs="宋体"/>
          <w:bCs/>
          <w:sz w:val="24"/>
        </w:rPr>
        <w:t>4</w:t>
      </w:r>
      <w:r>
        <w:rPr>
          <w:rFonts w:hint="eastAsia" w:ascii="宋体" w:hAnsi="宋体" w:eastAsia="宋体" w:cs="宋体"/>
          <w:bCs/>
          <w:sz w:val="24"/>
        </w:rPr>
        <w:t>.</w:t>
      </w:r>
      <w:r>
        <w:rPr>
          <w:rFonts w:ascii="宋体" w:hAnsi="宋体" w:eastAsia="宋体" w:cs="宋体"/>
          <w:bCs/>
          <w:sz w:val="24"/>
        </w:rPr>
        <w:t>2</w:t>
      </w:r>
      <w:r>
        <w:rPr>
          <w:rFonts w:hint="eastAsia" w:ascii="宋体" w:hAnsi="宋体" w:eastAsia="宋体" w:cs="宋体"/>
          <w:bCs/>
          <w:sz w:val="24"/>
        </w:rPr>
        <w:t xml:space="preserve">、安全检测与巡检服务 </w:t>
      </w:r>
    </w:p>
    <w:p w14:paraId="2E76D9B2">
      <w:pPr>
        <w:pStyle w:val="2"/>
        <w:ind w:firstLine="420" w:firstLineChars="175"/>
        <w:jc w:val="left"/>
        <w:rPr>
          <w:rFonts w:ascii="宋体" w:hAnsi="宋体" w:eastAsia="宋体" w:cs="宋体"/>
          <w:bCs/>
          <w:sz w:val="24"/>
        </w:rPr>
      </w:pPr>
      <w:r>
        <w:rPr>
          <w:rFonts w:hint="eastAsia" w:ascii="宋体" w:hAnsi="宋体" w:eastAsia="宋体" w:cs="宋体"/>
          <w:bCs/>
          <w:sz w:val="24"/>
        </w:rPr>
        <w:t>服务期内针对信息化建设提供1次全面的安全检测服务和并提供每年</w:t>
      </w:r>
      <w:r>
        <w:rPr>
          <w:rFonts w:ascii="宋体" w:hAnsi="宋体" w:eastAsia="宋体" w:cs="宋体"/>
          <w:bCs/>
          <w:sz w:val="24"/>
        </w:rPr>
        <w:t>4</w:t>
      </w:r>
      <w:r>
        <w:rPr>
          <w:rFonts w:hint="eastAsia" w:ascii="宋体" w:hAnsi="宋体" w:eastAsia="宋体" w:cs="宋体"/>
          <w:bCs/>
          <w:sz w:val="24"/>
        </w:rPr>
        <w:t>次巡检服务。保障网络和信息系统处于安全状态，杜绝带病运行的情况。</w:t>
      </w:r>
    </w:p>
    <w:p w14:paraId="1AB81820">
      <w:pPr>
        <w:pStyle w:val="2"/>
        <w:ind w:firstLine="420" w:firstLineChars="175"/>
        <w:jc w:val="left"/>
        <w:rPr>
          <w:rFonts w:ascii="宋体" w:hAnsi="宋体" w:eastAsia="宋体" w:cs="宋体"/>
          <w:bCs/>
          <w:sz w:val="24"/>
        </w:rPr>
      </w:pPr>
      <w:r>
        <w:rPr>
          <w:rFonts w:ascii="宋体" w:hAnsi="宋体" w:eastAsia="宋体" w:cs="宋体"/>
          <w:bCs/>
          <w:sz w:val="24"/>
        </w:rPr>
        <w:t>4</w:t>
      </w:r>
      <w:r>
        <w:rPr>
          <w:rFonts w:hint="eastAsia" w:ascii="宋体" w:hAnsi="宋体" w:eastAsia="宋体" w:cs="宋体"/>
          <w:bCs/>
          <w:sz w:val="24"/>
        </w:rPr>
        <w:t>.</w:t>
      </w:r>
      <w:r>
        <w:rPr>
          <w:rFonts w:ascii="宋体" w:hAnsi="宋体" w:eastAsia="宋体" w:cs="宋体"/>
          <w:bCs/>
          <w:sz w:val="24"/>
        </w:rPr>
        <w:t>3</w:t>
      </w:r>
      <w:r>
        <w:rPr>
          <w:rFonts w:hint="eastAsia" w:ascii="宋体" w:hAnsi="宋体" w:eastAsia="宋体" w:cs="宋体"/>
          <w:bCs/>
          <w:sz w:val="24"/>
        </w:rPr>
        <w:t>、安全应急保障服务</w:t>
      </w:r>
    </w:p>
    <w:p w14:paraId="7A564A8F">
      <w:pPr>
        <w:pStyle w:val="2"/>
        <w:ind w:firstLine="420" w:firstLineChars="175"/>
        <w:jc w:val="left"/>
        <w:rPr>
          <w:rFonts w:ascii="宋体" w:hAnsi="宋体" w:eastAsia="宋体" w:cs="宋体"/>
          <w:bCs/>
          <w:sz w:val="24"/>
        </w:rPr>
      </w:pPr>
      <w:r>
        <w:rPr>
          <w:rFonts w:hint="eastAsia" w:ascii="宋体" w:hAnsi="宋体" w:eastAsia="宋体" w:cs="宋体"/>
          <w:bCs/>
          <w:sz w:val="24"/>
        </w:rPr>
        <w:t>依据网络安全主管单位相关专项应急预案要求及信息系统等级保护国家标准，对网 络安全应急预案和各重要系统预案进行梳理和修订，并据此开展网络安全应急演练工作 ，完善网络安全事件应急响应与安全事件通报机制。提供安全事件应急响应服务，60分钟响应，2小时达到现场；应急演练开展每年1次。</w:t>
      </w:r>
    </w:p>
    <w:p w14:paraId="5B0B08C4">
      <w:pPr>
        <w:pStyle w:val="2"/>
        <w:ind w:firstLine="420" w:firstLineChars="175"/>
        <w:jc w:val="left"/>
        <w:rPr>
          <w:rFonts w:ascii="宋体" w:hAnsi="宋体" w:eastAsia="宋体" w:cs="宋体"/>
          <w:bCs/>
          <w:sz w:val="24"/>
        </w:rPr>
      </w:pPr>
      <w:r>
        <w:rPr>
          <w:rFonts w:ascii="宋体" w:hAnsi="宋体" w:eastAsia="宋体" w:cs="宋体"/>
          <w:bCs/>
          <w:sz w:val="24"/>
        </w:rPr>
        <w:t>4</w:t>
      </w:r>
      <w:r>
        <w:rPr>
          <w:rFonts w:hint="eastAsia" w:ascii="宋体" w:hAnsi="宋体" w:eastAsia="宋体" w:cs="宋体"/>
          <w:bCs/>
          <w:sz w:val="24"/>
        </w:rPr>
        <w:t>.</w:t>
      </w:r>
      <w:r>
        <w:rPr>
          <w:rFonts w:ascii="宋体" w:hAnsi="宋体" w:eastAsia="宋体" w:cs="宋体"/>
          <w:bCs/>
          <w:sz w:val="24"/>
        </w:rPr>
        <w:t>4</w:t>
      </w:r>
      <w:r>
        <w:rPr>
          <w:rFonts w:hint="eastAsia" w:ascii="宋体" w:hAnsi="宋体" w:eastAsia="宋体" w:cs="宋体"/>
          <w:bCs/>
          <w:sz w:val="24"/>
        </w:rPr>
        <w:t>、重要资产监测服务</w:t>
      </w:r>
    </w:p>
    <w:p w14:paraId="515C3113">
      <w:pPr>
        <w:pStyle w:val="2"/>
        <w:ind w:firstLine="420" w:firstLineChars="175"/>
        <w:jc w:val="left"/>
        <w:rPr>
          <w:rFonts w:ascii="宋体" w:hAnsi="宋体" w:eastAsia="宋体" w:cs="宋体"/>
          <w:bCs/>
          <w:sz w:val="24"/>
        </w:rPr>
      </w:pPr>
      <w:r>
        <w:rPr>
          <w:rFonts w:hint="eastAsia" w:ascii="宋体" w:hAnsi="宋体" w:eastAsia="宋体" w:cs="宋体"/>
          <w:bCs/>
          <w:sz w:val="24"/>
        </w:rPr>
        <w:t>针对测评系统中重要资产进行</w:t>
      </w:r>
      <w:r>
        <w:rPr>
          <w:rFonts w:ascii="宋体" w:hAnsi="宋体" w:eastAsia="宋体" w:cs="宋体"/>
          <w:bCs/>
          <w:sz w:val="24"/>
        </w:rPr>
        <w:t>7</w:t>
      </w:r>
      <w:r>
        <w:rPr>
          <w:rFonts w:hint="eastAsia" w:ascii="宋体" w:hAnsi="宋体" w:eastAsia="宋体" w:cs="宋体"/>
          <w:bCs/>
          <w:sz w:val="24"/>
        </w:rPr>
        <w:t>*</w:t>
      </w:r>
      <w:r>
        <w:rPr>
          <w:rFonts w:ascii="宋体" w:hAnsi="宋体" w:eastAsia="宋体" w:cs="宋体"/>
          <w:bCs/>
          <w:sz w:val="24"/>
        </w:rPr>
        <w:t>24</w:t>
      </w:r>
      <w:r>
        <w:rPr>
          <w:rFonts w:hint="eastAsia" w:ascii="宋体" w:hAnsi="宋体" w:eastAsia="宋体" w:cs="宋体"/>
          <w:bCs/>
          <w:sz w:val="24"/>
        </w:rPr>
        <w:t>小时事件精准及时发现，从海量的安全日志中精准及时发现真实重要的安全事件，实现安全事件早发现、早处理。</w:t>
      </w:r>
    </w:p>
    <w:p w14:paraId="58D398FE">
      <w:pPr>
        <w:pStyle w:val="2"/>
        <w:ind w:firstLine="420" w:firstLineChars="175"/>
        <w:jc w:val="left"/>
        <w:rPr>
          <w:rFonts w:ascii="宋体" w:hAnsi="宋体" w:eastAsia="宋体" w:cs="宋体"/>
          <w:bCs/>
          <w:sz w:val="24"/>
        </w:rPr>
      </w:pPr>
      <w:r>
        <w:rPr>
          <w:rFonts w:hint="eastAsia" w:ascii="宋体" w:hAnsi="宋体" w:eastAsia="宋体" w:cs="宋体"/>
          <w:bCs/>
          <w:sz w:val="24"/>
        </w:rPr>
        <w:t>一般事件快速处置：工作时间现场响应，帮助我单位对网络内服务资产爆发的一般安全事件（如：病毒攻击、恶意攻击等）进行清除，帮助我单位快速恢复业务，消除或减轻影响，闭环事件。</w:t>
      </w:r>
    </w:p>
    <w:p w14:paraId="48A1221D">
      <w:pPr>
        <w:pStyle w:val="2"/>
        <w:ind w:firstLine="420" w:firstLineChars="175"/>
        <w:jc w:val="left"/>
        <w:rPr>
          <w:rFonts w:ascii="宋体" w:hAnsi="宋体" w:eastAsia="宋体" w:cs="宋体"/>
          <w:bCs/>
          <w:sz w:val="24"/>
        </w:rPr>
      </w:pPr>
      <w:r>
        <w:rPr>
          <w:rFonts w:hint="eastAsia" w:ascii="宋体" w:hAnsi="宋体" w:eastAsia="宋体" w:cs="宋体"/>
          <w:bCs/>
          <w:sz w:val="24"/>
        </w:rPr>
        <w:t>重大事件应急响应：重大事件应急快速响应，帮助我单位对事件进行紧急遏制、分析事件的影响范围、针对事件发生原因进行溯源排查、提供对应的安全加固方案等。</w:t>
      </w:r>
    </w:p>
    <w:p w14:paraId="5EF2055A">
      <w:pPr>
        <w:pStyle w:val="2"/>
        <w:ind w:firstLine="420" w:firstLineChars="175"/>
        <w:jc w:val="left"/>
        <w:rPr>
          <w:rFonts w:ascii="宋体" w:hAnsi="宋体" w:eastAsia="宋体" w:cs="宋体"/>
          <w:bCs/>
          <w:sz w:val="24"/>
        </w:rPr>
      </w:pPr>
    </w:p>
    <w:p w14:paraId="0F9A9EC2">
      <w:pPr>
        <w:snapToGrid w:val="0"/>
        <w:ind w:firstLine="482" w:firstLineChars="200"/>
        <w:outlineLvl w:val="1"/>
        <w:rPr>
          <w:rFonts w:ascii="宋体" w:hAnsi="宋体" w:cs="宋体"/>
          <w:b/>
          <w:sz w:val="24"/>
        </w:rPr>
      </w:pPr>
      <w:r>
        <w:rPr>
          <w:rFonts w:ascii="宋体" w:hAnsi="宋体" w:cs="宋体"/>
          <w:b/>
          <w:sz w:val="24"/>
        </w:rPr>
        <w:t>5</w:t>
      </w:r>
      <w:r>
        <w:rPr>
          <w:rFonts w:hint="eastAsia" w:ascii="宋体" w:hAnsi="宋体" w:cs="宋体"/>
          <w:b/>
          <w:sz w:val="24"/>
        </w:rPr>
        <w:t>、项目管理要求</w:t>
      </w:r>
    </w:p>
    <w:p w14:paraId="10BD8DEE">
      <w:pPr>
        <w:snapToGrid w:val="0"/>
        <w:ind w:firstLine="482" w:firstLineChars="200"/>
        <w:outlineLvl w:val="2"/>
        <w:rPr>
          <w:rFonts w:ascii="宋体" w:hAnsi="宋体" w:cs="宋体"/>
          <w:b/>
          <w:sz w:val="24"/>
        </w:rPr>
      </w:pPr>
      <w:r>
        <w:rPr>
          <w:rFonts w:ascii="宋体" w:hAnsi="宋体" w:cs="宋体"/>
          <w:b/>
          <w:sz w:val="24"/>
        </w:rPr>
        <w:t>5</w:t>
      </w:r>
      <w:r>
        <w:rPr>
          <w:rFonts w:hint="eastAsia" w:ascii="宋体" w:hAnsi="宋体" w:cs="宋体"/>
          <w:b/>
          <w:sz w:val="24"/>
        </w:rPr>
        <w:t>.1实施要求</w:t>
      </w:r>
    </w:p>
    <w:p w14:paraId="71816E6C">
      <w:pPr>
        <w:snapToGrid w:val="0"/>
        <w:ind w:firstLine="480" w:firstLineChars="200"/>
        <w:rPr>
          <w:rFonts w:ascii="宋体" w:hAnsi="宋体" w:cs="宋体"/>
          <w:bCs/>
          <w:sz w:val="24"/>
        </w:rPr>
      </w:pPr>
      <w:r>
        <w:rPr>
          <w:rFonts w:hint="eastAsia" w:ascii="宋体" w:hAnsi="宋体" w:cs="宋体"/>
          <w:bCs/>
          <w:sz w:val="24"/>
        </w:rPr>
        <w:t>（1）为了保证本次测评项目的实施质量和工期，本项目采用项目经理负责制、供应商安排具备一定信息安全技术能力、项目管理能力与等级测评工作经验的人员担任项目经理。除项目经理外，项目组至少由</w:t>
      </w:r>
      <w:r>
        <w:rPr>
          <w:rFonts w:ascii="宋体" w:hAnsi="宋体" w:cs="宋体"/>
          <w:bCs/>
          <w:sz w:val="24"/>
        </w:rPr>
        <w:t>6</w:t>
      </w:r>
      <w:r>
        <w:rPr>
          <w:rFonts w:hint="eastAsia" w:ascii="宋体" w:hAnsi="宋体" w:cs="宋体"/>
          <w:bCs/>
          <w:sz w:val="24"/>
        </w:rPr>
        <w:t>名等级测评师组成。</w:t>
      </w:r>
    </w:p>
    <w:p w14:paraId="0CB5EFB5">
      <w:pPr>
        <w:snapToGrid w:val="0"/>
        <w:ind w:firstLine="480" w:firstLineChars="200"/>
        <w:rPr>
          <w:rFonts w:ascii="宋体" w:hAnsi="宋体" w:cs="宋体"/>
          <w:bCs/>
          <w:sz w:val="24"/>
        </w:rPr>
      </w:pPr>
      <w:r>
        <w:rPr>
          <w:rFonts w:hint="eastAsia" w:ascii="宋体" w:hAnsi="宋体" w:cs="宋体"/>
          <w:bCs/>
          <w:sz w:val="24"/>
        </w:rPr>
        <w:t>（2）项目进场实施前，供应商必须与采购人签订项目保密协议。现场实施过程中测评人员必须接受甲方管理。</w:t>
      </w:r>
    </w:p>
    <w:p w14:paraId="6BCEB302">
      <w:pPr>
        <w:snapToGrid w:val="0"/>
        <w:ind w:firstLine="480" w:firstLineChars="200"/>
        <w:rPr>
          <w:rFonts w:ascii="宋体" w:hAnsi="宋体" w:cs="宋体"/>
          <w:bCs/>
          <w:sz w:val="24"/>
        </w:rPr>
      </w:pPr>
      <w:r>
        <w:rPr>
          <w:rFonts w:hint="eastAsia" w:ascii="宋体" w:hAnsi="宋体" w:cs="宋体"/>
          <w:bCs/>
          <w:sz w:val="24"/>
        </w:rPr>
        <w:t>（3）供应商制定合理的时间计划安排。（项目工期：15个日历日）</w:t>
      </w:r>
    </w:p>
    <w:p w14:paraId="30144B97">
      <w:pPr>
        <w:snapToGrid w:val="0"/>
        <w:ind w:firstLine="480" w:firstLineChars="200"/>
        <w:rPr>
          <w:rFonts w:ascii="宋体" w:hAnsi="宋体" w:cs="宋体"/>
          <w:bCs/>
          <w:sz w:val="24"/>
        </w:rPr>
      </w:pPr>
      <w:r>
        <w:rPr>
          <w:rFonts w:hint="eastAsia" w:ascii="宋体" w:hAnsi="宋体" w:cs="宋体"/>
          <w:bCs/>
          <w:sz w:val="24"/>
        </w:rPr>
        <w:t>（4）本次项目实施过程主要分为准备阶段、方案编制阶段、现场测评阶段、分析与报告编制四个主要项目阶段，供应商在方案中明确各阶段双方的主要工作，各阶段双方须相互配合协调的内容。</w:t>
      </w:r>
    </w:p>
    <w:p w14:paraId="607A64D5">
      <w:pPr>
        <w:snapToGrid w:val="0"/>
        <w:ind w:firstLine="480" w:firstLineChars="200"/>
        <w:rPr>
          <w:rFonts w:ascii="宋体" w:hAnsi="宋体" w:cs="宋体"/>
          <w:bCs/>
          <w:sz w:val="24"/>
        </w:rPr>
      </w:pPr>
      <w:r>
        <w:rPr>
          <w:rFonts w:hint="eastAsia" w:ascii="宋体" w:hAnsi="宋体" w:cs="宋体"/>
          <w:bCs/>
          <w:sz w:val="24"/>
        </w:rPr>
        <w:t>（5）为保证实施期间的系统安全运行，供应商应在合同期限内提供相应的应急响应服务，供应商的响应文件中须对期间可能出现的系统典型安全事件的处理流程与应急处理方法做出详细说明。</w:t>
      </w:r>
    </w:p>
    <w:p w14:paraId="673FD616">
      <w:pPr>
        <w:snapToGrid w:val="0"/>
        <w:ind w:firstLine="480" w:firstLineChars="200"/>
        <w:rPr>
          <w:rFonts w:ascii="宋体" w:hAnsi="宋体" w:cs="宋体"/>
          <w:bCs/>
          <w:sz w:val="24"/>
        </w:rPr>
      </w:pPr>
      <w:r>
        <w:rPr>
          <w:rFonts w:hint="eastAsia" w:ascii="宋体" w:hAnsi="宋体" w:cs="宋体"/>
          <w:bCs/>
          <w:sz w:val="24"/>
        </w:rPr>
        <w:t>（6）供应商应具备完善的项目质量管理体系，在项目实施过程中项目经理应全程负责项目实施过程的把控。</w:t>
      </w:r>
    </w:p>
    <w:p w14:paraId="4843BE08">
      <w:pPr>
        <w:snapToGrid w:val="0"/>
        <w:ind w:firstLine="482" w:firstLineChars="200"/>
        <w:outlineLvl w:val="2"/>
        <w:rPr>
          <w:rFonts w:ascii="宋体" w:hAnsi="宋体" w:cs="宋体"/>
          <w:b/>
          <w:sz w:val="24"/>
        </w:rPr>
      </w:pPr>
      <w:r>
        <w:rPr>
          <w:rFonts w:ascii="宋体" w:hAnsi="宋体" w:cs="宋体"/>
          <w:b/>
          <w:sz w:val="24"/>
        </w:rPr>
        <w:t>5</w:t>
      </w:r>
      <w:r>
        <w:rPr>
          <w:rFonts w:hint="eastAsia" w:ascii="宋体" w:hAnsi="宋体" w:cs="宋体"/>
          <w:b/>
          <w:sz w:val="24"/>
        </w:rPr>
        <w:t>.2标准依据</w:t>
      </w:r>
    </w:p>
    <w:p w14:paraId="0FC7AAA5">
      <w:pPr>
        <w:snapToGrid w:val="0"/>
        <w:ind w:firstLine="480" w:firstLineChars="200"/>
        <w:rPr>
          <w:rFonts w:ascii="宋体" w:hAnsi="宋体" w:cs="宋体"/>
          <w:bCs/>
          <w:sz w:val="24"/>
        </w:rPr>
      </w:pPr>
      <w:r>
        <w:rPr>
          <w:rFonts w:hint="eastAsia" w:ascii="宋体" w:hAnsi="宋体" w:cs="宋体"/>
          <w:bCs/>
          <w:sz w:val="24"/>
        </w:rPr>
        <w:t>《信息安全技术 信息系统安全等级保护定级指南》 （GB/T 22240-2020）</w:t>
      </w:r>
    </w:p>
    <w:p w14:paraId="668D12F4">
      <w:pPr>
        <w:snapToGrid w:val="0"/>
        <w:ind w:firstLine="480" w:firstLineChars="200"/>
        <w:rPr>
          <w:rFonts w:ascii="宋体" w:hAnsi="宋体" w:cs="宋体"/>
          <w:bCs/>
          <w:sz w:val="24"/>
        </w:rPr>
      </w:pPr>
      <w:r>
        <w:rPr>
          <w:rFonts w:hint="eastAsia" w:ascii="宋体" w:hAnsi="宋体" w:cs="宋体"/>
          <w:bCs/>
          <w:sz w:val="24"/>
        </w:rPr>
        <w:t>《信息安全技术 网络安全等级保护实施指南》（GB/T 25058-2019）</w:t>
      </w:r>
    </w:p>
    <w:p w14:paraId="0D4A9CD8">
      <w:pPr>
        <w:snapToGrid w:val="0"/>
        <w:ind w:firstLine="480" w:firstLineChars="200"/>
        <w:rPr>
          <w:rFonts w:ascii="宋体" w:hAnsi="宋体" w:cs="宋体"/>
          <w:bCs/>
          <w:sz w:val="24"/>
        </w:rPr>
      </w:pPr>
      <w:r>
        <w:rPr>
          <w:rFonts w:hint="eastAsia" w:ascii="宋体" w:hAnsi="宋体" w:cs="宋体"/>
          <w:bCs/>
          <w:sz w:val="24"/>
        </w:rPr>
        <w:t>《信息安全技术 网络安全等级保护基本要求》（GB/T 22239-2019）</w:t>
      </w:r>
    </w:p>
    <w:p w14:paraId="5645EC9C">
      <w:pPr>
        <w:snapToGrid w:val="0"/>
        <w:ind w:firstLine="480" w:firstLineChars="200"/>
        <w:rPr>
          <w:rFonts w:ascii="宋体" w:hAnsi="宋体" w:cs="宋体"/>
          <w:bCs/>
          <w:sz w:val="24"/>
        </w:rPr>
      </w:pPr>
      <w:r>
        <w:rPr>
          <w:rFonts w:hint="eastAsia" w:ascii="宋体" w:hAnsi="宋体" w:cs="宋体"/>
          <w:bCs/>
          <w:sz w:val="24"/>
        </w:rPr>
        <w:t>《信息安全技术 网络安全等级保护测评要求》（GB/T 28448-2019）</w:t>
      </w:r>
    </w:p>
    <w:p w14:paraId="4B497C14">
      <w:pPr>
        <w:snapToGrid w:val="0"/>
        <w:ind w:firstLine="480" w:firstLineChars="200"/>
        <w:rPr>
          <w:rFonts w:ascii="宋体" w:hAnsi="宋体" w:cs="宋体"/>
          <w:bCs/>
          <w:sz w:val="24"/>
        </w:rPr>
      </w:pPr>
      <w:r>
        <w:rPr>
          <w:rFonts w:hint="eastAsia" w:ascii="宋体" w:hAnsi="宋体" w:cs="宋体"/>
          <w:bCs/>
          <w:sz w:val="24"/>
        </w:rPr>
        <w:t>《信息安全技术 网络安全等级保护测评过程指南》（GB/T 28449-2018）</w:t>
      </w:r>
    </w:p>
    <w:p w14:paraId="4C30ECF9">
      <w:pPr>
        <w:snapToGrid w:val="0"/>
        <w:ind w:firstLine="480" w:firstLineChars="200"/>
        <w:rPr>
          <w:rFonts w:ascii="宋体" w:hAnsi="宋体" w:cs="宋体"/>
          <w:bCs/>
          <w:sz w:val="24"/>
        </w:rPr>
      </w:pPr>
      <w:r>
        <w:rPr>
          <w:rFonts w:hint="eastAsia" w:ascii="宋体" w:hAnsi="宋体" w:cs="宋体"/>
          <w:bCs/>
          <w:sz w:val="24"/>
        </w:rPr>
        <w:t>本次信息系统等级测评服务项目的实施流程、技术方法必须严格执行国家相关标准规范。</w:t>
      </w:r>
    </w:p>
    <w:p w14:paraId="60B72102">
      <w:pPr>
        <w:snapToGrid w:val="0"/>
        <w:ind w:firstLine="482" w:firstLineChars="200"/>
        <w:outlineLvl w:val="2"/>
        <w:rPr>
          <w:rFonts w:ascii="宋体" w:hAnsi="宋体" w:cs="宋体"/>
          <w:b/>
          <w:sz w:val="24"/>
        </w:rPr>
      </w:pPr>
      <w:r>
        <w:rPr>
          <w:rFonts w:ascii="宋体" w:hAnsi="宋体" w:cs="宋体"/>
          <w:b/>
          <w:sz w:val="24"/>
        </w:rPr>
        <w:t>5</w:t>
      </w:r>
      <w:r>
        <w:rPr>
          <w:rFonts w:hint="eastAsia" w:ascii="宋体" w:hAnsi="宋体" w:cs="宋体"/>
          <w:b/>
          <w:sz w:val="24"/>
        </w:rPr>
        <w:t>.3测评技术与方法</w:t>
      </w:r>
    </w:p>
    <w:p w14:paraId="134DD405">
      <w:pPr>
        <w:snapToGrid w:val="0"/>
        <w:ind w:firstLine="480" w:firstLineChars="200"/>
        <w:rPr>
          <w:rFonts w:ascii="宋体" w:hAnsi="宋体" w:cs="宋体"/>
          <w:bCs/>
          <w:sz w:val="24"/>
        </w:rPr>
      </w:pPr>
      <w:r>
        <w:rPr>
          <w:rFonts w:hint="eastAsia" w:ascii="宋体" w:hAnsi="宋体" w:cs="宋体"/>
          <w:bCs/>
          <w:sz w:val="24"/>
        </w:rPr>
        <w:t>供应商以访谈、现场勘查、上机查看、工具测试等方式开展测评工作，所有获取测评证据的过程尽可能不影响信息系统的正常运行，对于可能产生的负面影响（如有）供应商需要在响应文件中做具体描述。因目前信息系统均为B/S架构，在测评过程中测评机构需重点对WEB应用业务进行安全测试。</w:t>
      </w:r>
    </w:p>
    <w:p w14:paraId="300E7514">
      <w:pPr>
        <w:snapToGrid w:val="0"/>
        <w:ind w:firstLine="482" w:firstLineChars="200"/>
        <w:outlineLvl w:val="1"/>
        <w:rPr>
          <w:rFonts w:ascii="宋体" w:hAnsi="宋体" w:cs="宋体"/>
          <w:b/>
          <w:sz w:val="24"/>
        </w:rPr>
      </w:pPr>
      <w:r>
        <w:rPr>
          <w:rFonts w:ascii="宋体" w:hAnsi="宋体" w:cs="宋体"/>
          <w:b/>
          <w:sz w:val="24"/>
        </w:rPr>
        <w:t>6</w:t>
      </w:r>
      <w:r>
        <w:rPr>
          <w:rFonts w:hint="eastAsia" w:ascii="宋体" w:hAnsi="宋体" w:cs="宋体"/>
          <w:b/>
          <w:sz w:val="24"/>
        </w:rPr>
        <w:t>、其他</w:t>
      </w:r>
    </w:p>
    <w:p w14:paraId="139373C6">
      <w:pPr>
        <w:widowControl/>
        <w:ind w:firstLine="480" w:firstLineChars="200"/>
        <w:textAlignment w:val="baseline"/>
        <w:rPr>
          <w:rFonts w:ascii="宋体" w:hAnsi="宋体"/>
          <w:sz w:val="24"/>
        </w:rPr>
      </w:pPr>
      <w:r>
        <w:rPr>
          <w:rFonts w:ascii="宋体" w:hAnsi="宋体"/>
          <w:sz w:val="24"/>
        </w:rPr>
        <w:t>1</w:t>
      </w:r>
      <w:r>
        <w:rPr>
          <w:rFonts w:hint="eastAsia" w:ascii="宋体" w:hAnsi="宋体"/>
          <w:sz w:val="24"/>
        </w:rPr>
        <w:t>、签定合同日期：自中标（成交）通知书发出之日起</w:t>
      </w:r>
      <w:r>
        <w:rPr>
          <w:rFonts w:ascii="宋体" w:hAnsi="宋体"/>
          <w:sz w:val="24"/>
        </w:rPr>
        <w:t>7</w:t>
      </w:r>
      <w:r>
        <w:rPr>
          <w:rFonts w:hint="eastAsia" w:ascii="宋体" w:hAnsi="宋体"/>
          <w:sz w:val="24"/>
        </w:rPr>
        <w:t>个工作日内按时签约。</w:t>
      </w:r>
    </w:p>
    <w:p w14:paraId="4711B91B">
      <w:pPr>
        <w:widowControl/>
        <w:ind w:firstLine="480" w:firstLineChars="200"/>
        <w:textAlignment w:val="baseline"/>
        <w:rPr>
          <w:rFonts w:ascii="宋体" w:hAnsi="宋体"/>
          <w:sz w:val="24"/>
        </w:rPr>
      </w:pPr>
      <w:r>
        <w:rPr>
          <w:rFonts w:ascii="宋体" w:hAnsi="宋体"/>
          <w:sz w:val="24"/>
        </w:rPr>
        <w:t>2</w:t>
      </w:r>
      <w:r>
        <w:rPr>
          <w:rFonts w:hint="eastAsia" w:ascii="宋体" w:hAnsi="宋体"/>
          <w:sz w:val="24"/>
        </w:rPr>
        <w:t>、服务时间：测评任务自合同签定之日起</w:t>
      </w:r>
      <w:r>
        <w:rPr>
          <w:rFonts w:ascii="宋体" w:hAnsi="宋体"/>
          <w:sz w:val="24"/>
        </w:rPr>
        <w:t>3</w:t>
      </w:r>
      <w:r>
        <w:rPr>
          <w:rFonts w:hint="eastAsia" w:ascii="宋体" w:hAnsi="宋体"/>
          <w:sz w:val="24"/>
        </w:rPr>
        <w:t>0个工作日内完成。</w:t>
      </w:r>
    </w:p>
    <w:p w14:paraId="33CDF2E5">
      <w:pPr>
        <w:widowControl/>
        <w:ind w:firstLine="480" w:firstLineChars="200"/>
        <w:textAlignment w:val="baseline"/>
        <w:rPr>
          <w:rFonts w:ascii="宋体" w:hAnsi="宋体"/>
          <w:sz w:val="24"/>
        </w:rPr>
      </w:pPr>
      <w:r>
        <w:rPr>
          <w:rFonts w:hint="eastAsia" w:ascii="宋体" w:hAnsi="宋体"/>
          <w:sz w:val="24"/>
        </w:rPr>
        <w:t>3、付款方式：按照合同实施和合同要求验收，甲方获得测评报告28天内，甲方向乙方支付服务费用的</w:t>
      </w:r>
      <w:r>
        <w:rPr>
          <w:rFonts w:ascii="宋体" w:hAnsi="宋体"/>
          <w:sz w:val="24"/>
        </w:rPr>
        <w:t>10</w:t>
      </w:r>
      <w:r>
        <w:rPr>
          <w:rFonts w:hint="eastAsia" w:ascii="宋体" w:hAnsi="宋体"/>
          <w:sz w:val="24"/>
        </w:rPr>
        <w:t>0%。</w:t>
      </w:r>
    </w:p>
    <w:p w14:paraId="66133F20"/>
    <w:p w14:paraId="2CE51779">
      <w:pPr>
        <w:pStyle w:val="2"/>
      </w:pPr>
    </w:p>
    <w:p w14:paraId="2A58470C">
      <w:pPr>
        <w:pStyle w:val="2"/>
      </w:pPr>
    </w:p>
    <w:p w14:paraId="5BB64BB0">
      <w:pPr>
        <w:pStyle w:val="2"/>
      </w:pPr>
    </w:p>
    <w:p w14:paraId="06987373">
      <w:pPr>
        <w:pStyle w:val="2"/>
      </w:pPr>
    </w:p>
    <w:p w14:paraId="7231DA6B">
      <w:pPr>
        <w:spacing w:before="156" w:beforeLines="50" w:after="156" w:afterLines="50" w:line="360" w:lineRule="auto"/>
        <w:jc w:val="center"/>
        <w:outlineLvl w:val="0"/>
        <w:rPr>
          <w:rFonts w:hint="eastAsia" w:ascii="宋体" w:hAnsi="宋体" w:cs="宋体"/>
          <w:kern w:val="0"/>
          <w:sz w:val="24"/>
        </w:rPr>
      </w:pPr>
    </w:p>
    <w:p w14:paraId="1F3421C1">
      <w:pPr>
        <w:spacing w:before="156" w:beforeLines="50" w:after="156" w:afterLines="50" w:line="360" w:lineRule="auto"/>
        <w:jc w:val="center"/>
        <w:outlineLvl w:val="0"/>
        <w:rPr>
          <w:rFonts w:ascii="宋体" w:hAnsi="宋体" w:cs="宋体"/>
          <w:kern w:val="0"/>
          <w:sz w:val="24"/>
        </w:rPr>
      </w:pPr>
      <w:r>
        <w:rPr>
          <w:rFonts w:hint="eastAsia" w:ascii="宋体" w:hAnsi="宋体" w:cs="宋体"/>
          <w:kern w:val="0"/>
          <w:sz w:val="24"/>
        </w:rPr>
        <w:t>评分细则</w:t>
      </w:r>
    </w:p>
    <w:p w14:paraId="2DFFA3A2">
      <w:pPr>
        <w:pStyle w:val="11"/>
        <w:spacing w:before="156" w:beforeLines="50" w:after="156" w:afterLines="50" w:line="360" w:lineRule="auto"/>
        <w:ind w:firstLine="0" w:firstLineChars="0"/>
        <w:outlineLvl w:val="0"/>
        <w:rPr>
          <w:rFonts w:ascii="宋体" w:hAnsi="宋体" w:cs="宋体"/>
          <w:kern w:val="0"/>
          <w:sz w:val="24"/>
          <w:szCs w:val="24"/>
        </w:rPr>
      </w:pPr>
      <w:r>
        <w:rPr>
          <w:rFonts w:hint="eastAsia" w:ascii="宋体" w:hAnsi="宋体" w:cs="宋体"/>
          <w:kern w:val="0"/>
          <w:sz w:val="24"/>
          <w:szCs w:val="24"/>
        </w:rPr>
        <w:t>一、本次招标评标采用综合评分法，即在满足招标文件实质性要求前提下，按照招标文件中规定的评分标准和各项因素进行综合评审，以评标总得分最高的投标人作为第一中标候选人，次高的作为第二中标候选人，以此类推。</w:t>
      </w:r>
    </w:p>
    <w:p w14:paraId="4335525F">
      <w:pPr>
        <w:pStyle w:val="11"/>
        <w:numPr>
          <w:ilvl w:val="0"/>
          <w:numId w:val="1"/>
        </w:numPr>
        <w:spacing w:before="156" w:beforeLines="50" w:after="156" w:afterLines="50" w:line="360" w:lineRule="auto"/>
        <w:ind w:firstLine="0" w:firstLineChars="0"/>
        <w:outlineLvl w:val="0"/>
        <w:rPr>
          <w:rFonts w:ascii="宋体" w:hAnsi="宋体" w:cs="宋体"/>
          <w:kern w:val="0"/>
          <w:sz w:val="24"/>
          <w:szCs w:val="24"/>
        </w:rPr>
      </w:pPr>
      <w:r>
        <w:rPr>
          <w:rFonts w:hint="eastAsia" w:ascii="宋体" w:hAnsi="宋体" w:cs="宋体"/>
          <w:kern w:val="0"/>
          <w:sz w:val="24"/>
          <w:szCs w:val="24"/>
        </w:rPr>
        <w:t>评标委员会各成员独立对每个进入打分程序的有效投标人的技术和商务部分以打分的形式进行评审和评价，评委会成员所打投标人之间同项分值相差过大的，评委会成员应说明评审及打分理由。</w:t>
      </w:r>
    </w:p>
    <w:p w14:paraId="6FA5DC27">
      <w:pPr>
        <w:pStyle w:val="11"/>
        <w:numPr>
          <w:ilvl w:val="0"/>
          <w:numId w:val="1"/>
        </w:numPr>
        <w:spacing w:before="156" w:beforeLines="50" w:after="156" w:afterLines="50" w:line="360" w:lineRule="auto"/>
        <w:ind w:firstLine="0" w:firstLineChars="0"/>
        <w:outlineLvl w:val="0"/>
        <w:rPr>
          <w:rFonts w:ascii="宋体" w:hAnsi="宋体" w:cs="宋体"/>
          <w:kern w:val="0"/>
          <w:sz w:val="24"/>
          <w:szCs w:val="24"/>
        </w:rPr>
      </w:pPr>
      <w:r>
        <w:rPr>
          <w:rFonts w:hint="eastAsia" w:ascii="宋体" w:hAnsi="宋体" w:cs="宋体"/>
          <w:kern w:val="0"/>
          <w:sz w:val="24"/>
          <w:szCs w:val="24"/>
        </w:rPr>
        <w:t>对评委的评分（除价格分外）进行统计汇总并算术平均，计算出每个投标人的得分，加上价格得分即为每个投标人的评标总得分（满分100分）。所有计算结果均四舍五入保留小数点后两位。</w:t>
      </w:r>
    </w:p>
    <w:p w14:paraId="48FBB59C">
      <w:pPr>
        <w:pStyle w:val="11"/>
        <w:numPr>
          <w:ilvl w:val="0"/>
          <w:numId w:val="1"/>
        </w:numPr>
        <w:spacing w:before="156" w:beforeLines="50" w:after="156" w:afterLines="50" w:line="360" w:lineRule="auto"/>
        <w:ind w:firstLine="0" w:firstLineChars="0"/>
        <w:outlineLvl w:val="0"/>
        <w:rPr>
          <w:rFonts w:ascii="宋体" w:hAnsi="宋体" w:cs="宋体"/>
          <w:kern w:val="0"/>
          <w:sz w:val="24"/>
          <w:szCs w:val="24"/>
        </w:rPr>
      </w:pPr>
      <w:r>
        <w:rPr>
          <w:rFonts w:hint="eastAsia" w:ascii="宋体" w:hAnsi="宋体" w:cs="宋体"/>
          <w:kern w:val="0"/>
          <w:sz w:val="24"/>
          <w:szCs w:val="24"/>
        </w:rPr>
        <w:t>如出现评标总得分最高的投标人有两个或两个以上的，以投标报价较低者优先作为第一中标候选人，如果投标报价也相同的，则以抽签方式确定中标候选人排序。</w:t>
      </w:r>
    </w:p>
    <w:p w14:paraId="7B72FBCF">
      <w:pPr>
        <w:spacing w:line="400" w:lineRule="atLeast"/>
        <w:rPr>
          <w:rFonts w:ascii="宋体" w:hAnsi="宋体" w:cs="宋体"/>
          <w:kern w:val="0"/>
          <w:sz w:val="24"/>
        </w:rPr>
      </w:pPr>
    </w:p>
    <w:tbl>
      <w:tblPr>
        <w:tblStyle w:val="5"/>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96"/>
        <w:gridCol w:w="1272"/>
        <w:gridCol w:w="1767"/>
        <w:gridCol w:w="5607"/>
      </w:tblGrid>
      <w:tr w14:paraId="75BE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0" w:hRule="atLeast"/>
          <w:jc w:val="center"/>
        </w:trPr>
        <w:tc>
          <w:tcPr>
            <w:tcW w:w="996" w:type="dxa"/>
            <w:shd w:val="clear" w:color="auto" w:fill="FFFFFF" w:themeFill="background1"/>
            <w:vAlign w:val="center"/>
          </w:tcPr>
          <w:p w14:paraId="053321C0">
            <w:pPr>
              <w:spacing w:line="32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内容</w:t>
            </w:r>
          </w:p>
        </w:tc>
        <w:tc>
          <w:tcPr>
            <w:tcW w:w="1272" w:type="dxa"/>
            <w:shd w:val="clear" w:color="auto" w:fill="FFFFFF" w:themeFill="background1"/>
            <w:vAlign w:val="center"/>
          </w:tcPr>
          <w:p w14:paraId="15A26572">
            <w:pPr>
              <w:spacing w:line="32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满分</w:t>
            </w:r>
          </w:p>
        </w:tc>
        <w:tc>
          <w:tcPr>
            <w:tcW w:w="1767" w:type="dxa"/>
            <w:shd w:val="clear" w:color="auto" w:fill="FFFFFF" w:themeFill="background1"/>
            <w:vAlign w:val="center"/>
          </w:tcPr>
          <w:p w14:paraId="121A7DB7">
            <w:pPr>
              <w:spacing w:line="32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w:t>
            </w:r>
          </w:p>
        </w:tc>
        <w:tc>
          <w:tcPr>
            <w:tcW w:w="5607" w:type="dxa"/>
            <w:shd w:val="clear" w:color="auto" w:fill="FFFFFF" w:themeFill="background1"/>
            <w:vAlign w:val="center"/>
          </w:tcPr>
          <w:p w14:paraId="1D558AE8">
            <w:pPr>
              <w:spacing w:line="32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评分标准</w:t>
            </w:r>
          </w:p>
        </w:tc>
      </w:tr>
      <w:tr w14:paraId="1CFF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0" w:hRule="atLeast"/>
          <w:jc w:val="center"/>
        </w:trPr>
        <w:tc>
          <w:tcPr>
            <w:tcW w:w="996" w:type="dxa"/>
            <w:shd w:val="clear" w:color="auto" w:fill="FFFFFF" w:themeFill="background1"/>
            <w:vAlign w:val="center"/>
          </w:tcPr>
          <w:p w14:paraId="2F0BB765">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报价部分</w:t>
            </w:r>
          </w:p>
        </w:tc>
        <w:tc>
          <w:tcPr>
            <w:tcW w:w="1272" w:type="dxa"/>
            <w:shd w:val="clear" w:color="auto" w:fill="FFFFFF" w:themeFill="background1"/>
            <w:vAlign w:val="center"/>
          </w:tcPr>
          <w:p w14:paraId="6F8775BB">
            <w:pPr>
              <w:spacing w:line="340" w:lineRule="exact"/>
              <w:jc w:val="center"/>
              <w:rPr>
                <w:rFonts w:ascii="宋体" w:hAnsi="宋体" w:cs="宋体"/>
                <w:color w:val="000000" w:themeColor="text1"/>
                <w:sz w:val="24"/>
                <w14:textFill>
                  <w14:solidFill>
                    <w14:schemeClr w14:val="tx1"/>
                  </w14:solidFill>
                </w14:textFill>
              </w:rPr>
            </w:pPr>
            <w:r>
              <w:rPr>
                <w:rFonts w:ascii="宋体" w:hAnsi="宋体" w:eastAsia="PMingLiU" w:cs="宋体"/>
                <w:color w:val="000000" w:themeColor="text1"/>
                <w:sz w:val="24"/>
                <w:lang w:val="zh-TW" w:eastAsia="zh-TW"/>
                <w14:textFill>
                  <w14:solidFill>
                    <w14:schemeClr w14:val="tx1"/>
                  </w14:solidFill>
                </w14:textFill>
              </w:rPr>
              <w:t>1</w:t>
            </w:r>
            <w:r>
              <w:rPr>
                <w:rFonts w:hint="eastAsia" w:ascii="宋体" w:hAnsi="宋体" w:cs="宋体"/>
                <w:color w:val="000000" w:themeColor="text1"/>
                <w:sz w:val="24"/>
                <w:lang w:val="zh-TW"/>
                <w14:textFill>
                  <w14:solidFill>
                    <w14:schemeClr w14:val="tx1"/>
                  </w14:solidFill>
                </w14:textFill>
              </w:rPr>
              <w:t>0</w:t>
            </w:r>
            <w:r>
              <w:rPr>
                <w:rFonts w:hint="eastAsia" w:ascii="宋体" w:hAnsi="宋体" w:cs="宋体"/>
                <w:color w:val="000000" w:themeColor="text1"/>
                <w:sz w:val="24"/>
                <w:lang w:val="zh-TW" w:eastAsia="zh-TW"/>
                <w14:textFill>
                  <w14:solidFill>
                    <w14:schemeClr w14:val="tx1"/>
                  </w14:solidFill>
                </w14:textFill>
              </w:rPr>
              <w:t>分</w:t>
            </w:r>
          </w:p>
        </w:tc>
        <w:tc>
          <w:tcPr>
            <w:tcW w:w="1767" w:type="dxa"/>
            <w:shd w:val="clear" w:color="auto" w:fill="FFFFFF"/>
            <w:vAlign w:val="center"/>
          </w:tcPr>
          <w:p w14:paraId="3ABC712F">
            <w:pPr>
              <w:spacing w:line="340" w:lineRule="exact"/>
              <w:jc w:val="center"/>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报价</w:t>
            </w:r>
          </w:p>
          <w:p w14:paraId="6A4EE16D">
            <w:pPr>
              <w:spacing w:line="340" w:lineRule="exact"/>
              <w:jc w:val="center"/>
              <w:rPr>
                <w:rFonts w:ascii="宋体" w:hAnsi="宋体" w:cs="宋体"/>
                <w:color w:val="000000" w:themeColor="text1"/>
                <w:sz w:val="24"/>
                <w:lang w:val="zh-TW" w:eastAsia="zh-TW"/>
                <w14:textFill>
                  <w14:solidFill>
                    <w14:schemeClr w14:val="tx1"/>
                  </w14:solidFill>
                </w14:textFill>
              </w:rPr>
            </w:pPr>
            <w:r>
              <w:rPr>
                <w:rFonts w:hint="eastAsia" w:ascii="宋体" w:hAnsi="宋体" w:cs="宋体"/>
                <w:color w:val="000000" w:themeColor="text1"/>
                <w:sz w:val="24"/>
                <w:lang w:val="zh-TW" w:eastAsia="zh-TW"/>
                <w14:textFill>
                  <w14:solidFill>
                    <w14:schemeClr w14:val="tx1"/>
                  </w14:solidFill>
                </w14:textFill>
              </w:rPr>
              <w:t>（</w:t>
            </w:r>
            <w:r>
              <w:rPr>
                <w:rFonts w:ascii="宋体" w:hAnsi="宋体" w:eastAsia="PMingLiU" w:cs="宋体"/>
                <w:color w:val="000000" w:themeColor="text1"/>
                <w:sz w:val="24"/>
                <w:lang w:val="zh-TW" w:eastAsia="zh-TW"/>
                <w14:textFill>
                  <w14:solidFill>
                    <w14:schemeClr w14:val="tx1"/>
                  </w14:solidFill>
                </w14:textFill>
              </w:rPr>
              <w:t>1</w:t>
            </w:r>
            <w:r>
              <w:rPr>
                <w:rFonts w:hint="eastAsia" w:ascii="宋体" w:hAnsi="宋体" w:cs="宋体"/>
                <w:color w:val="000000" w:themeColor="text1"/>
                <w:sz w:val="24"/>
                <w:lang w:val="zh-TW"/>
                <w14:textFill>
                  <w14:solidFill>
                    <w14:schemeClr w14:val="tx1"/>
                  </w14:solidFill>
                </w14:textFill>
              </w:rPr>
              <w:t>0</w:t>
            </w:r>
            <w:r>
              <w:rPr>
                <w:rFonts w:hint="eastAsia" w:ascii="宋体" w:hAnsi="宋体" w:cs="宋体"/>
                <w:color w:val="000000" w:themeColor="text1"/>
                <w:sz w:val="24"/>
                <w:lang w:val="zh-TW" w:eastAsia="zh-TW"/>
                <w14:textFill>
                  <w14:solidFill>
                    <w14:schemeClr w14:val="tx1"/>
                  </w14:solidFill>
                </w14:textFill>
              </w:rPr>
              <w:t>分）</w:t>
            </w:r>
          </w:p>
        </w:tc>
        <w:tc>
          <w:tcPr>
            <w:tcW w:w="5607" w:type="dxa"/>
            <w:shd w:val="clear" w:color="auto" w:fill="FFFFFF"/>
            <w:vAlign w:val="center"/>
          </w:tcPr>
          <w:p w14:paraId="6F2B0C21">
            <w:pPr>
              <w:spacing w:line="340" w:lineRule="exact"/>
              <w:jc w:val="center"/>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采用低价优先法计算，即满足竞争性磋商文件要求且投标价格最低的投标报价为评标基准价，其价格分为满分。</w:t>
            </w:r>
          </w:p>
          <w:p w14:paraId="617D3FA7">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其他供应商的价格分按照下列公式计算（小数点保留两位）：报价分＝（评标基准价/最终投标报价）×</w:t>
            </w:r>
            <w:r>
              <w:rPr>
                <w:rFonts w:ascii="宋体" w:hAnsi="宋体" w:eastAsia="PMingLiU" w:cs="宋体"/>
                <w:color w:val="000000" w:themeColor="text1"/>
                <w:sz w:val="24"/>
                <w:lang w:val="zh-TW" w:eastAsia="zh-TW"/>
                <w14:textFill>
                  <w14:solidFill>
                    <w14:schemeClr w14:val="tx1"/>
                  </w14:solidFill>
                </w14:textFill>
              </w:rPr>
              <w:t>1</w:t>
            </w:r>
            <w:r>
              <w:rPr>
                <w:rFonts w:hint="eastAsia" w:ascii="宋体" w:hAnsi="宋体" w:cs="宋体"/>
                <w:color w:val="000000" w:themeColor="text1"/>
                <w:sz w:val="24"/>
                <w:lang w:val="zh-TW"/>
                <w14:textFill>
                  <w14:solidFill>
                    <w14:schemeClr w14:val="tx1"/>
                  </w14:solidFill>
                </w14:textFill>
              </w:rPr>
              <w:t>0分。</w:t>
            </w:r>
          </w:p>
        </w:tc>
      </w:tr>
      <w:tr w14:paraId="3832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490" w:hRule="atLeast"/>
          <w:jc w:val="center"/>
        </w:trPr>
        <w:tc>
          <w:tcPr>
            <w:tcW w:w="996" w:type="dxa"/>
            <w:vMerge w:val="restart"/>
            <w:shd w:val="clear" w:color="auto" w:fill="FFFFFF" w:themeFill="background1"/>
            <w:vAlign w:val="center"/>
          </w:tcPr>
          <w:p w14:paraId="1E26BF6E">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w:t>
            </w:r>
          </w:p>
          <w:p w14:paraId="4F8AAD1C">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务</w:t>
            </w:r>
          </w:p>
          <w:p w14:paraId="161FF652">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部</w:t>
            </w:r>
          </w:p>
          <w:p w14:paraId="633977E3">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w:t>
            </w:r>
          </w:p>
          <w:p w14:paraId="2EB91FF9">
            <w:pPr>
              <w:spacing w:line="320" w:lineRule="exact"/>
              <w:jc w:val="center"/>
              <w:rPr>
                <w:rFonts w:ascii="宋体" w:hAnsi="宋体" w:cs="宋体"/>
                <w:color w:val="000000" w:themeColor="text1"/>
                <w:sz w:val="24"/>
                <w14:textFill>
                  <w14:solidFill>
                    <w14:schemeClr w14:val="tx1"/>
                  </w14:solidFill>
                </w14:textFill>
              </w:rPr>
            </w:pPr>
          </w:p>
        </w:tc>
        <w:tc>
          <w:tcPr>
            <w:tcW w:w="1272" w:type="dxa"/>
            <w:vMerge w:val="restart"/>
            <w:shd w:val="clear" w:color="auto" w:fill="FFFFFF" w:themeFill="background1"/>
            <w:vAlign w:val="center"/>
          </w:tcPr>
          <w:p w14:paraId="0F0C6B80">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分</w:t>
            </w:r>
          </w:p>
          <w:p w14:paraId="6A84D162">
            <w:pPr>
              <w:spacing w:line="320" w:lineRule="exact"/>
              <w:jc w:val="center"/>
              <w:rPr>
                <w:rFonts w:ascii="宋体" w:hAnsi="宋体" w:cs="宋体"/>
                <w:color w:val="000000" w:themeColor="text1"/>
                <w:sz w:val="24"/>
                <w14:textFill>
                  <w14:solidFill>
                    <w14:schemeClr w14:val="tx1"/>
                  </w14:solidFill>
                </w14:textFill>
              </w:rPr>
            </w:pPr>
          </w:p>
        </w:tc>
        <w:tc>
          <w:tcPr>
            <w:tcW w:w="1767" w:type="dxa"/>
            <w:shd w:val="clear" w:color="auto" w:fill="FFFFFF" w:themeFill="background1"/>
            <w:vAlign w:val="center"/>
          </w:tcPr>
          <w:p w14:paraId="04618C2C">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项目业绩</w:t>
            </w:r>
          </w:p>
          <w:p w14:paraId="2D4B3938">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（4分）</w:t>
            </w:r>
          </w:p>
        </w:tc>
        <w:tc>
          <w:tcPr>
            <w:tcW w:w="5607" w:type="dxa"/>
            <w:shd w:val="clear" w:color="auto" w:fill="FFFFFF" w:themeFill="background1"/>
            <w:vAlign w:val="center"/>
          </w:tcPr>
          <w:p w14:paraId="39DEECE4">
            <w:pPr>
              <w:spacing w:line="34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投标人自202</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年5月1日以来，承接过</w:t>
            </w:r>
            <w:r>
              <w:rPr>
                <w:rFonts w:hint="eastAsia" w:ascii="宋体" w:hAnsi="宋体" w:cs="宋体"/>
                <w:color w:val="000000"/>
                <w:sz w:val="24"/>
              </w:rPr>
              <w:t>徐州市及省内三甲医院</w:t>
            </w:r>
            <w:r>
              <w:rPr>
                <w:rFonts w:hint="eastAsia" w:ascii="宋体" w:hAnsi="宋体" w:cs="宋体"/>
                <w:color w:val="000000" w:themeColor="text1"/>
                <w:sz w:val="24"/>
                <w14:textFill>
                  <w14:solidFill>
                    <w14:schemeClr w14:val="tx1"/>
                  </w14:solidFill>
                </w14:textFill>
              </w:rPr>
              <w:t>等级保护测评相关服务案例，每提供1份，得1分，最高得4分。</w:t>
            </w:r>
            <w:r>
              <w:rPr>
                <w:rFonts w:hint="eastAsia" w:ascii="宋体" w:hAnsi="宋体" w:cs="宋体"/>
                <w:b/>
                <w:bCs/>
                <w:color w:val="000000" w:themeColor="text1"/>
                <w:sz w:val="24"/>
                <w14:textFill>
                  <w14:solidFill>
                    <w14:schemeClr w14:val="tx1"/>
                  </w14:solidFill>
                </w14:textFill>
              </w:rPr>
              <w:t>（提供完整的合同复印件加盖公章，时间以合同签订时间为准）</w:t>
            </w:r>
          </w:p>
        </w:tc>
      </w:tr>
      <w:tr w14:paraId="63A0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490" w:hRule="atLeast"/>
          <w:jc w:val="center"/>
        </w:trPr>
        <w:tc>
          <w:tcPr>
            <w:tcW w:w="996" w:type="dxa"/>
            <w:vMerge w:val="continue"/>
            <w:shd w:val="clear" w:color="auto" w:fill="FFFFFF" w:themeFill="background1"/>
            <w:vAlign w:val="center"/>
          </w:tcPr>
          <w:p w14:paraId="0B6170F7">
            <w:pPr>
              <w:spacing w:line="320" w:lineRule="exact"/>
              <w:jc w:val="center"/>
              <w:rPr>
                <w:rFonts w:ascii="宋体" w:hAnsi="宋体" w:cs="宋体"/>
                <w:color w:val="000000" w:themeColor="text1"/>
                <w:sz w:val="24"/>
                <w14:textFill>
                  <w14:solidFill>
                    <w14:schemeClr w14:val="tx1"/>
                  </w14:solidFill>
                </w14:textFill>
              </w:rPr>
            </w:pPr>
          </w:p>
        </w:tc>
        <w:tc>
          <w:tcPr>
            <w:tcW w:w="1272" w:type="dxa"/>
            <w:vMerge w:val="continue"/>
            <w:shd w:val="clear" w:color="auto" w:fill="FFFFFF" w:themeFill="background1"/>
            <w:vAlign w:val="center"/>
          </w:tcPr>
          <w:p w14:paraId="3437627D">
            <w:pPr>
              <w:spacing w:line="320" w:lineRule="exact"/>
              <w:jc w:val="center"/>
              <w:rPr>
                <w:rFonts w:ascii="宋体" w:hAnsi="宋体" w:cs="宋体"/>
                <w:color w:val="000000" w:themeColor="text1"/>
                <w:sz w:val="24"/>
                <w14:textFill>
                  <w14:solidFill>
                    <w14:schemeClr w14:val="tx1"/>
                  </w14:solidFill>
                </w14:textFill>
              </w:rPr>
            </w:pPr>
          </w:p>
        </w:tc>
        <w:tc>
          <w:tcPr>
            <w:tcW w:w="1767" w:type="dxa"/>
            <w:shd w:val="clear" w:color="auto" w:fill="FFFFFF" w:themeFill="background1"/>
            <w:vAlign w:val="center"/>
          </w:tcPr>
          <w:p w14:paraId="4BCA1613">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企业评价</w:t>
            </w:r>
          </w:p>
          <w:p w14:paraId="22BDA761">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（6分）</w:t>
            </w:r>
          </w:p>
        </w:tc>
        <w:tc>
          <w:tcPr>
            <w:tcW w:w="5607" w:type="dxa"/>
            <w:shd w:val="clear" w:color="auto" w:fill="FFFFFF" w:themeFill="background1"/>
            <w:vAlign w:val="center"/>
          </w:tcPr>
          <w:p w14:paraId="60CAEADC">
            <w:pPr>
              <w:spacing w:line="34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具有质量管理体系认证，信息安全服务资质认证证书CCRC（应急处理服务资质），信息安全管理体系认证证书，合规管理体系认证证书，通信网络安全服务能力风险评估一级评定证书，ITSS运维管理体系认证证书，每提供1个得</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分，最高得6分。</w:t>
            </w:r>
            <w:r>
              <w:rPr>
                <w:rFonts w:hint="eastAsia" w:ascii="宋体" w:hAnsi="宋体" w:cs="宋体"/>
                <w:b/>
                <w:bCs/>
                <w:color w:val="000000" w:themeColor="text1"/>
                <w:sz w:val="24"/>
                <w14:textFill>
                  <w14:solidFill>
                    <w14:schemeClr w14:val="tx1"/>
                  </w14:solidFill>
                </w14:textFill>
              </w:rPr>
              <w:t>（提供有效的证书复印件加盖公章）</w:t>
            </w:r>
          </w:p>
        </w:tc>
      </w:tr>
      <w:tr w14:paraId="6329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jc w:val="center"/>
        </w:trPr>
        <w:tc>
          <w:tcPr>
            <w:tcW w:w="996" w:type="dxa"/>
            <w:vMerge w:val="continue"/>
            <w:shd w:val="clear" w:color="auto" w:fill="FFFFFF" w:themeFill="background1"/>
            <w:vAlign w:val="center"/>
          </w:tcPr>
          <w:p w14:paraId="2E4CF5F7">
            <w:pPr>
              <w:spacing w:line="320" w:lineRule="exact"/>
              <w:jc w:val="center"/>
              <w:rPr>
                <w:rFonts w:ascii="宋体" w:hAnsi="宋体" w:cs="宋体"/>
                <w:color w:val="000000" w:themeColor="text1"/>
                <w:sz w:val="24"/>
                <w14:textFill>
                  <w14:solidFill>
                    <w14:schemeClr w14:val="tx1"/>
                  </w14:solidFill>
                </w14:textFill>
              </w:rPr>
            </w:pPr>
          </w:p>
        </w:tc>
        <w:tc>
          <w:tcPr>
            <w:tcW w:w="1272" w:type="dxa"/>
            <w:vMerge w:val="continue"/>
            <w:shd w:val="clear" w:color="auto" w:fill="FFFFFF" w:themeFill="background1"/>
            <w:vAlign w:val="center"/>
          </w:tcPr>
          <w:p w14:paraId="5984E2B0">
            <w:pPr>
              <w:spacing w:line="320" w:lineRule="exact"/>
              <w:jc w:val="center"/>
              <w:rPr>
                <w:rFonts w:ascii="宋体" w:hAnsi="宋体" w:cs="宋体"/>
                <w:color w:val="000000" w:themeColor="text1"/>
                <w:sz w:val="24"/>
                <w14:textFill>
                  <w14:solidFill>
                    <w14:schemeClr w14:val="tx1"/>
                  </w14:solidFill>
                </w14:textFill>
              </w:rPr>
            </w:pPr>
          </w:p>
        </w:tc>
        <w:tc>
          <w:tcPr>
            <w:tcW w:w="1767" w:type="dxa"/>
            <w:shd w:val="clear" w:color="auto" w:fill="FFFFFF" w:themeFill="background1"/>
            <w:vAlign w:val="center"/>
          </w:tcPr>
          <w:p w14:paraId="59F97199">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项目经理资质</w:t>
            </w:r>
          </w:p>
          <w:p w14:paraId="5187D77E">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分）</w:t>
            </w:r>
          </w:p>
        </w:tc>
        <w:tc>
          <w:tcPr>
            <w:tcW w:w="5607" w:type="dxa"/>
            <w:shd w:val="clear" w:color="auto" w:fill="FFFFFF" w:themeFill="background1"/>
            <w:vAlign w:val="center"/>
          </w:tcPr>
          <w:p w14:paraId="6362DF9A">
            <w:pPr>
              <w:spacing w:line="34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针对本项目委派的项目经理（等级保护高级测评师）具备：PMP项目经理资质、CIIPT资质、CISAW资质、CCSC网络安全能力认证、CCRC数据安全官证书、CISP证书每有一项得</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分，最高得</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分。</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提供项目经理有效的证书复印件加盖公章，</w:t>
            </w:r>
            <w:r>
              <w:rPr>
                <w:rFonts w:hint="eastAsia" w:ascii="宋体" w:hAnsi="宋体" w:cs="宋体"/>
                <w:b/>
                <w:bCs/>
                <w:color w:val="000000" w:themeColor="text1"/>
                <w:kern w:val="0"/>
                <w:sz w:val="24"/>
                <w14:textFill>
                  <w14:solidFill>
                    <w14:schemeClr w14:val="tx1"/>
                  </w14:solidFill>
                </w14:textFill>
              </w:rPr>
              <w:t>并提供投标人为其缴纳的近3个月社保证明材料复印件加盖公章）</w:t>
            </w:r>
          </w:p>
        </w:tc>
      </w:tr>
      <w:tr w14:paraId="7C24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71" w:hRule="atLeast"/>
          <w:jc w:val="center"/>
        </w:trPr>
        <w:tc>
          <w:tcPr>
            <w:tcW w:w="996" w:type="dxa"/>
            <w:vMerge w:val="continue"/>
            <w:shd w:val="clear" w:color="auto" w:fill="FFFFFF" w:themeFill="background1"/>
            <w:vAlign w:val="center"/>
          </w:tcPr>
          <w:p w14:paraId="38059A06">
            <w:pPr>
              <w:spacing w:line="320" w:lineRule="exact"/>
              <w:jc w:val="center"/>
              <w:rPr>
                <w:rFonts w:ascii="宋体" w:hAnsi="宋体" w:cs="宋体"/>
                <w:color w:val="000000" w:themeColor="text1"/>
                <w:sz w:val="24"/>
                <w14:textFill>
                  <w14:solidFill>
                    <w14:schemeClr w14:val="tx1"/>
                  </w14:solidFill>
                </w14:textFill>
              </w:rPr>
            </w:pPr>
          </w:p>
        </w:tc>
        <w:tc>
          <w:tcPr>
            <w:tcW w:w="1272" w:type="dxa"/>
            <w:vMerge w:val="continue"/>
            <w:shd w:val="clear" w:color="auto" w:fill="FFFFFF" w:themeFill="background1"/>
            <w:vAlign w:val="center"/>
          </w:tcPr>
          <w:p w14:paraId="49F2AD00">
            <w:pPr>
              <w:spacing w:line="320" w:lineRule="exact"/>
              <w:jc w:val="center"/>
              <w:rPr>
                <w:rFonts w:ascii="宋体" w:hAnsi="宋体" w:cs="宋体"/>
                <w:color w:val="000000" w:themeColor="text1"/>
                <w:sz w:val="24"/>
                <w14:textFill>
                  <w14:solidFill>
                    <w14:schemeClr w14:val="tx1"/>
                  </w14:solidFill>
                </w14:textFill>
              </w:rPr>
            </w:pPr>
          </w:p>
        </w:tc>
        <w:tc>
          <w:tcPr>
            <w:tcW w:w="1767" w:type="dxa"/>
            <w:shd w:val="clear" w:color="auto" w:fill="FFFFFF" w:themeFill="background1"/>
            <w:vAlign w:val="center"/>
          </w:tcPr>
          <w:p w14:paraId="7DE3A426">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质量经理资质（</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分）</w:t>
            </w:r>
          </w:p>
        </w:tc>
        <w:tc>
          <w:tcPr>
            <w:tcW w:w="5607" w:type="dxa"/>
            <w:shd w:val="clear" w:color="auto" w:fill="FFFFFF" w:themeFill="background1"/>
            <w:vAlign w:val="center"/>
          </w:tcPr>
          <w:p w14:paraId="211D4D21">
            <w:pPr>
              <w:spacing w:line="34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针对本项目委派的质量经理（等级保护中级测评师）具备：CIIPT资质、CISAW（风险管理专业级）资质、CCRC数据安全官证书、CISP证书每有一项得</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分，最高得</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分。</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提供项目经理有效的证书复印件加盖公章，</w:t>
            </w:r>
            <w:r>
              <w:rPr>
                <w:rFonts w:hint="eastAsia" w:ascii="宋体" w:hAnsi="宋体" w:cs="宋体"/>
                <w:b/>
                <w:bCs/>
                <w:color w:val="000000" w:themeColor="text1"/>
                <w:kern w:val="0"/>
                <w:sz w:val="24"/>
                <w14:textFill>
                  <w14:solidFill>
                    <w14:schemeClr w14:val="tx1"/>
                  </w14:solidFill>
                </w14:textFill>
              </w:rPr>
              <w:t>并提供投标人为其缴纳的近3个月社保证明材料复印件加盖公章）</w:t>
            </w:r>
          </w:p>
        </w:tc>
      </w:tr>
      <w:tr w14:paraId="4B2D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71" w:hRule="atLeast"/>
          <w:jc w:val="center"/>
        </w:trPr>
        <w:tc>
          <w:tcPr>
            <w:tcW w:w="996" w:type="dxa"/>
            <w:vMerge w:val="continue"/>
            <w:shd w:val="clear" w:color="auto" w:fill="FFFFFF" w:themeFill="background1"/>
            <w:vAlign w:val="center"/>
          </w:tcPr>
          <w:p w14:paraId="242509CD">
            <w:pPr>
              <w:spacing w:line="320" w:lineRule="exact"/>
              <w:jc w:val="center"/>
              <w:rPr>
                <w:rFonts w:ascii="宋体" w:hAnsi="宋体" w:cs="宋体"/>
                <w:color w:val="000000" w:themeColor="text1"/>
                <w:sz w:val="24"/>
                <w14:textFill>
                  <w14:solidFill>
                    <w14:schemeClr w14:val="tx1"/>
                  </w14:solidFill>
                </w14:textFill>
              </w:rPr>
            </w:pPr>
          </w:p>
        </w:tc>
        <w:tc>
          <w:tcPr>
            <w:tcW w:w="1272" w:type="dxa"/>
            <w:vMerge w:val="continue"/>
            <w:shd w:val="clear" w:color="auto" w:fill="FFFFFF" w:themeFill="background1"/>
            <w:vAlign w:val="center"/>
          </w:tcPr>
          <w:p w14:paraId="3BF5C0D5">
            <w:pPr>
              <w:spacing w:line="320" w:lineRule="exact"/>
              <w:jc w:val="center"/>
              <w:rPr>
                <w:rFonts w:ascii="宋体" w:hAnsi="宋体" w:cs="宋体"/>
                <w:color w:val="000000" w:themeColor="text1"/>
                <w:sz w:val="24"/>
                <w14:textFill>
                  <w14:solidFill>
                    <w14:schemeClr w14:val="tx1"/>
                  </w14:solidFill>
                </w14:textFill>
              </w:rPr>
            </w:pPr>
          </w:p>
        </w:tc>
        <w:tc>
          <w:tcPr>
            <w:tcW w:w="1767" w:type="dxa"/>
            <w:shd w:val="clear" w:color="auto" w:fill="FFFFFF" w:themeFill="background1"/>
            <w:vAlign w:val="center"/>
          </w:tcPr>
          <w:p w14:paraId="5DF39088">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项目组成员资质</w:t>
            </w:r>
          </w:p>
          <w:p w14:paraId="63FC937C">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分）</w:t>
            </w:r>
          </w:p>
        </w:tc>
        <w:tc>
          <w:tcPr>
            <w:tcW w:w="5607" w:type="dxa"/>
            <w:shd w:val="clear" w:color="auto" w:fill="FFFFFF" w:themeFill="background1"/>
            <w:vAlign w:val="center"/>
          </w:tcPr>
          <w:p w14:paraId="6BB2F355">
            <w:pPr>
              <w:spacing w:line="34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针对本项目委派的项目组成员每有一人为中级测评师的，且具备PMP项目经理证书、CISP证书、CISAW（应急服务专业级）资质、CIIP-A资质、数据安全管理证书（中级）、一级建造师机电工程，每提供一个得</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分，最高得</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分。</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提供项目组成员有效的证书复印件加盖公章，</w:t>
            </w:r>
            <w:r>
              <w:rPr>
                <w:rFonts w:hint="eastAsia" w:ascii="宋体" w:hAnsi="宋体" w:cs="宋体"/>
                <w:b/>
                <w:bCs/>
                <w:color w:val="000000" w:themeColor="text1"/>
                <w:kern w:val="0"/>
                <w:sz w:val="24"/>
                <w14:textFill>
                  <w14:solidFill>
                    <w14:schemeClr w14:val="tx1"/>
                  </w14:solidFill>
                </w14:textFill>
              </w:rPr>
              <w:t>并提供投标人为其缴纳的近3个月社保证明材料复印件加盖公章，各专业人员不得兼任）</w:t>
            </w:r>
          </w:p>
        </w:tc>
      </w:tr>
      <w:tr w14:paraId="0146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60" w:hRule="atLeast"/>
          <w:jc w:val="center"/>
        </w:trPr>
        <w:tc>
          <w:tcPr>
            <w:tcW w:w="996" w:type="dxa"/>
            <w:vMerge w:val="restart"/>
            <w:shd w:val="clear" w:color="auto" w:fill="FFFFFF" w:themeFill="background1"/>
            <w:vAlign w:val="center"/>
          </w:tcPr>
          <w:p w14:paraId="3A9CA236">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w:t>
            </w:r>
          </w:p>
          <w:p w14:paraId="2607C098">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术</w:t>
            </w:r>
          </w:p>
          <w:p w14:paraId="12744BEE">
            <w:pPr>
              <w:spacing w:line="3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部</w:t>
            </w:r>
          </w:p>
          <w:p w14:paraId="1291B298">
            <w:pPr>
              <w:spacing w:line="320" w:lineRule="exact"/>
              <w:jc w:val="center"/>
              <w:rPr>
                <w:rFonts w:ascii="宋体" w:hAnsi="宋体" w:cs="宋体"/>
                <w:color w:val="000000"/>
                <w:sz w:val="24"/>
              </w:rPr>
            </w:pPr>
            <w:r>
              <w:rPr>
                <w:rFonts w:hint="eastAsia" w:ascii="宋体" w:hAnsi="宋体" w:cs="宋体"/>
                <w:color w:val="000000" w:themeColor="text1"/>
                <w:sz w:val="24"/>
                <w14:textFill>
                  <w14:solidFill>
                    <w14:schemeClr w14:val="tx1"/>
                  </w14:solidFill>
                </w14:textFill>
              </w:rPr>
              <w:t>分</w:t>
            </w:r>
          </w:p>
        </w:tc>
        <w:tc>
          <w:tcPr>
            <w:tcW w:w="1272" w:type="dxa"/>
            <w:vMerge w:val="restart"/>
            <w:shd w:val="clear" w:color="auto" w:fill="FFFFFF" w:themeFill="background1"/>
            <w:vAlign w:val="center"/>
          </w:tcPr>
          <w:p w14:paraId="7A7D2F7B">
            <w:pPr>
              <w:spacing w:line="320" w:lineRule="exact"/>
              <w:jc w:val="center"/>
              <w:rPr>
                <w:rFonts w:ascii="宋体" w:hAnsi="宋体" w:cs="宋体"/>
                <w:color w:val="000000"/>
                <w:sz w:val="24"/>
              </w:rPr>
            </w:pPr>
            <w:r>
              <w:rPr>
                <w:rFonts w:ascii="宋体" w:hAnsi="宋体" w:cs="宋体"/>
                <w:color w:val="000000" w:themeColor="text1"/>
                <w:sz w:val="24"/>
                <w14:textFill>
                  <w14:solidFill>
                    <w14:schemeClr w14:val="tx1"/>
                  </w14:solidFill>
                </w14:textFill>
              </w:rPr>
              <w:t>54</w:t>
            </w:r>
            <w:r>
              <w:rPr>
                <w:rFonts w:hint="eastAsia" w:ascii="宋体" w:hAnsi="宋体" w:cs="宋体"/>
                <w:color w:val="000000" w:themeColor="text1"/>
                <w:sz w:val="24"/>
                <w14:textFill>
                  <w14:solidFill>
                    <w14:schemeClr w14:val="tx1"/>
                  </w14:solidFill>
                </w14:textFill>
              </w:rPr>
              <w:t>分</w:t>
            </w:r>
          </w:p>
        </w:tc>
        <w:tc>
          <w:tcPr>
            <w:tcW w:w="1767" w:type="dxa"/>
            <w:shd w:val="clear" w:color="auto" w:fill="FFFFFF" w:themeFill="background1"/>
            <w:vAlign w:val="center"/>
          </w:tcPr>
          <w:p w14:paraId="2F937FB7">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等级保护测评方案       （1</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分）</w:t>
            </w:r>
          </w:p>
        </w:tc>
        <w:tc>
          <w:tcPr>
            <w:tcW w:w="5607" w:type="dxa"/>
            <w:shd w:val="clear" w:color="auto" w:fill="FFFFFF" w:themeFill="background1"/>
            <w:vAlign w:val="center"/>
          </w:tcPr>
          <w:p w14:paraId="48975709">
            <w:pPr>
              <w:spacing w:line="34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对投标文件中提供的等级保护测评方案进行评价：</w:t>
            </w:r>
          </w:p>
          <w:p w14:paraId="70F2E004">
            <w:pPr>
              <w:spacing w:line="34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1.内容针对性强、科学、可操作的得1</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w:t>
            </w:r>
          </w:p>
          <w:p w14:paraId="3088DAF0">
            <w:pPr>
              <w:spacing w:line="34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2.内容针对性较强、较科学、较可操作的得1</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w:t>
            </w:r>
          </w:p>
          <w:p w14:paraId="0D43E8CE">
            <w:pPr>
              <w:spacing w:line="34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3.内容针对性不强、不科学、不可操作的得</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-0分。</w:t>
            </w:r>
          </w:p>
        </w:tc>
      </w:tr>
      <w:tr w14:paraId="20D6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75" w:hRule="atLeast"/>
          <w:jc w:val="center"/>
        </w:trPr>
        <w:tc>
          <w:tcPr>
            <w:tcW w:w="996" w:type="dxa"/>
            <w:vMerge w:val="continue"/>
            <w:shd w:val="clear" w:color="auto" w:fill="FFFFFF" w:themeFill="background1"/>
            <w:vAlign w:val="center"/>
          </w:tcPr>
          <w:p w14:paraId="176B52A4">
            <w:pPr>
              <w:spacing w:line="320" w:lineRule="exact"/>
              <w:jc w:val="center"/>
              <w:rPr>
                <w:rFonts w:ascii="宋体" w:hAnsi="宋体" w:cs="宋体"/>
                <w:color w:val="000000" w:themeColor="text1"/>
                <w:sz w:val="24"/>
                <w14:textFill>
                  <w14:solidFill>
                    <w14:schemeClr w14:val="tx1"/>
                  </w14:solidFill>
                </w14:textFill>
              </w:rPr>
            </w:pPr>
          </w:p>
        </w:tc>
        <w:tc>
          <w:tcPr>
            <w:tcW w:w="1272" w:type="dxa"/>
            <w:vMerge w:val="continue"/>
            <w:shd w:val="clear" w:color="auto" w:fill="FFFFFF" w:themeFill="background1"/>
            <w:vAlign w:val="center"/>
          </w:tcPr>
          <w:p w14:paraId="0B4E1BC6">
            <w:pPr>
              <w:spacing w:line="320" w:lineRule="exact"/>
              <w:jc w:val="center"/>
              <w:rPr>
                <w:rFonts w:ascii="宋体" w:hAnsi="宋体" w:cs="宋体"/>
                <w:color w:val="000000" w:themeColor="text1"/>
                <w:sz w:val="24"/>
                <w14:textFill>
                  <w14:solidFill>
                    <w14:schemeClr w14:val="tx1"/>
                  </w14:solidFill>
                </w14:textFill>
              </w:rPr>
            </w:pPr>
          </w:p>
        </w:tc>
        <w:tc>
          <w:tcPr>
            <w:tcW w:w="1767" w:type="dxa"/>
            <w:shd w:val="clear" w:color="auto" w:fill="FFFFFF" w:themeFill="background1"/>
            <w:vAlign w:val="center"/>
          </w:tcPr>
          <w:p w14:paraId="4E8C30C4">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等级保护实施方案       （1</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分）</w:t>
            </w:r>
          </w:p>
        </w:tc>
        <w:tc>
          <w:tcPr>
            <w:tcW w:w="5607" w:type="dxa"/>
            <w:shd w:val="clear" w:color="auto" w:fill="FFFFFF" w:themeFill="background1"/>
            <w:vAlign w:val="center"/>
          </w:tcPr>
          <w:p w14:paraId="7337A960">
            <w:pPr>
              <w:spacing w:line="34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对投标文件中提供的等级保护实施方案进行评价：</w:t>
            </w:r>
          </w:p>
          <w:p w14:paraId="3969CC0D">
            <w:pPr>
              <w:spacing w:line="34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1.内容针对性强、科学、可操作的得1</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w:t>
            </w:r>
          </w:p>
          <w:p w14:paraId="2AC5D216">
            <w:pPr>
              <w:spacing w:line="34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2.内容针对性较强、较科学、较可操作的得1</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w:t>
            </w:r>
          </w:p>
          <w:p w14:paraId="021954C9">
            <w:pPr>
              <w:spacing w:line="34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3.内容针对性不强、不科学、不可操作的得</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-0分。</w:t>
            </w:r>
          </w:p>
        </w:tc>
      </w:tr>
      <w:tr w14:paraId="4415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05" w:hRule="atLeast"/>
          <w:jc w:val="center"/>
        </w:trPr>
        <w:tc>
          <w:tcPr>
            <w:tcW w:w="996" w:type="dxa"/>
            <w:vMerge w:val="continue"/>
            <w:shd w:val="clear" w:color="auto" w:fill="FFFFFF" w:themeFill="background1"/>
            <w:vAlign w:val="center"/>
          </w:tcPr>
          <w:p w14:paraId="5AFD4995">
            <w:pPr>
              <w:spacing w:line="340" w:lineRule="exact"/>
              <w:jc w:val="center"/>
              <w:rPr>
                <w:rFonts w:ascii="宋体" w:hAnsi="宋体" w:cs="宋体"/>
                <w:color w:val="000000"/>
                <w:sz w:val="24"/>
              </w:rPr>
            </w:pPr>
          </w:p>
        </w:tc>
        <w:tc>
          <w:tcPr>
            <w:tcW w:w="1272" w:type="dxa"/>
            <w:vMerge w:val="continue"/>
            <w:shd w:val="clear" w:color="auto" w:fill="FFFFFF" w:themeFill="background1"/>
            <w:vAlign w:val="center"/>
          </w:tcPr>
          <w:p w14:paraId="41FCD091">
            <w:pPr>
              <w:spacing w:line="340" w:lineRule="exact"/>
              <w:jc w:val="center"/>
              <w:rPr>
                <w:rFonts w:ascii="宋体" w:hAnsi="宋体" w:cs="宋体"/>
                <w:color w:val="000000"/>
                <w:sz w:val="24"/>
              </w:rPr>
            </w:pPr>
          </w:p>
        </w:tc>
        <w:tc>
          <w:tcPr>
            <w:tcW w:w="1767" w:type="dxa"/>
            <w:shd w:val="clear" w:color="auto" w:fill="FFFFFF" w:themeFill="background1"/>
            <w:vAlign w:val="center"/>
          </w:tcPr>
          <w:p w14:paraId="1ADA12AF">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安全事件应急响应及保密管控方案 </w:t>
            </w:r>
          </w:p>
          <w:p w14:paraId="3B0B8C68">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分）</w:t>
            </w:r>
          </w:p>
        </w:tc>
        <w:tc>
          <w:tcPr>
            <w:tcW w:w="5607" w:type="dxa"/>
            <w:shd w:val="clear" w:color="auto" w:fill="FFFFFF" w:themeFill="background1"/>
            <w:vAlign w:val="center"/>
          </w:tcPr>
          <w:p w14:paraId="45163A89">
            <w:pPr>
              <w:spacing w:line="34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对投标文件中提供的安全事件应急响应及保密管控方案进行评价：</w:t>
            </w:r>
          </w:p>
          <w:p w14:paraId="00D081ED">
            <w:pPr>
              <w:spacing w:line="34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1.内容针对性强、科学、可操作的得1</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w:t>
            </w:r>
          </w:p>
          <w:p w14:paraId="5A1500A4">
            <w:pPr>
              <w:spacing w:line="34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2.内容针对性较强、较科学、较可操作的得1</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w:t>
            </w:r>
          </w:p>
          <w:p w14:paraId="72C67F79">
            <w:pPr>
              <w:spacing w:line="34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3.内容针对性不强、不科学、不可操作的得</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-0分。</w:t>
            </w:r>
          </w:p>
        </w:tc>
      </w:tr>
      <w:tr w14:paraId="16DD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05" w:hRule="atLeast"/>
          <w:jc w:val="center"/>
        </w:trPr>
        <w:tc>
          <w:tcPr>
            <w:tcW w:w="996" w:type="dxa"/>
            <w:shd w:val="clear" w:color="auto" w:fill="FFFFFF" w:themeFill="background1"/>
            <w:vAlign w:val="center"/>
          </w:tcPr>
          <w:p w14:paraId="7E3EF0BF">
            <w:pPr>
              <w:spacing w:line="340" w:lineRule="exact"/>
              <w:jc w:val="center"/>
              <w:rPr>
                <w:rFonts w:ascii="宋体" w:hAnsi="宋体" w:cs="宋体"/>
                <w:color w:val="000000"/>
                <w:sz w:val="24"/>
              </w:rPr>
            </w:pPr>
            <w:r>
              <w:rPr>
                <w:rFonts w:hint="eastAsia" w:ascii="宋体" w:hAnsi="宋体" w:cs="宋体"/>
                <w:color w:val="000000"/>
                <w:sz w:val="24"/>
              </w:rPr>
              <w:t>增值</w:t>
            </w:r>
          </w:p>
          <w:p w14:paraId="4FA6C0D4">
            <w:pPr>
              <w:spacing w:line="340" w:lineRule="exact"/>
              <w:jc w:val="center"/>
              <w:rPr>
                <w:rFonts w:ascii="宋体" w:hAnsi="宋体" w:cs="宋体"/>
                <w:color w:val="000000"/>
                <w:sz w:val="24"/>
              </w:rPr>
            </w:pPr>
            <w:r>
              <w:rPr>
                <w:rFonts w:hint="eastAsia" w:ascii="宋体" w:hAnsi="宋体" w:cs="宋体"/>
                <w:color w:val="000000"/>
                <w:sz w:val="24"/>
              </w:rPr>
              <w:t>服务</w:t>
            </w:r>
          </w:p>
        </w:tc>
        <w:tc>
          <w:tcPr>
            <w:tcW w:w="1272" w:type="dxa"/>
            <w:shd w:val="clear" w:color="auto" w:fill="FFFFFF" w:themeFill="background1"/>
            <w:vAlign w:val="center"/>
          </w:tcPr>
          <w:p w14:paraId="4B405F27">
            <w:pPr>
              <w:spacing w:line="340" w:lineRule="exact"/>
              <w:jc w:val="center"/>
              <w:rPr>
                <w:rFonts w:ascii="宋体" w:hAnsi="宋体" w:cs="宋体"/>
                <w:color w:val="000000"/>
                <w:sz w:val="24"/>
              </w:rPr>
            </w:pPr>
            <w:r>
              <w:rPr>
                <w:rFonts w:ascii="宋体" w:hAnsi="宋体" w:cs="宋体"/>
                <w:color w:val="000000"/>
                <w:sz w:val="24"/>
              </w:rPr>
              <w:t>10</w:t>
            </w:r>
            <w:r>
              <w:rPr>
                <w:rFonts w:hint="eastAsia" w:ascii="宋体" w:hAnsi="宋体" w:cs="宋体"/>
                <w:color w:val="000000"/>
                <w:sz w:val="24"/>
              </w:rPr>
              <w:t>分</w:t>
            </w:r>
          </w:p>
        </w:tc>
        <w:tc>
          <w:tcPr>
            <w:tcW w:w="1767" w:type="dxa"/>
            <w:shd w:val="clear" w:color="auto" w:fill="FFFFFF" w:themeFill="background1"/>
            <w:vAlign w:val="center"/>
          </w:tcPr>
          <w:p w14:paraId="7F8F48B6">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服务承诺    </w:t>
            </w:r>
          </w:p>
          <w:p w14:paraId="36E55D63">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分）</w:t>
            </w:r>
          </w:p>
        </w:tc>
        <w:tc>
          <w:tcPr>
            <w:tcW w:w="5607" w:type="dxa"/>
            <w:shd w:val="clear" w:color="auto" w:fill="FFFFFF" w:themeFill="background1"/>
            <w:vAlign w:val="center"/>
          </w:tcPr>
          <w:p w14:paraId="183C6EC4">
            <w:pPr>
              <w:spacing w:line="34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免费提供为期一年的网络安全保障服务，对各投标人投标文件中提供的网络安全保障服务方案进行综合评价：</w:t>
            </w:r>
          </w:p>
          <w:p w14:paraId="617219D6">
            <w:pPr>
              <w:spacing w:line="34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1.内容针对性强、科学、可操作的得</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w:t>
            </w:r>
          </w:p>
          <w:p w14:paraId="71560F44">
            <w:pPr>
              <w:spacing w:line="34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2.内容针对性较强、较科学、较可操作的得</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分；</w:t>
            </w:r>
          </w:p>
          <w:p w14:paraId="0D948C75">
            <w:pPr>
              <w:spacing w:line="34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3.内容针对性不强、不科学、不可操作的得</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-0分。</w:t>
            </w:r>
          </w:p>
        </w:tc>
      </w:tr>
    </w:tbl>
    <w:p w14:paraId="3A91CDFF">
      <w:pPr>
        <w:rPr>
          <w:rFonts w:ascii="宋体" w:hAnsi="宋体" w:cs="宋体"/>
          <w:sz w:val="24"/>
        </w:rPr>
      </w:pPr>
    </w:p>
    <w:p w14:paraId="2DA7E635">
      <w:pPr>
        <w:rPr>
          <w:rFonts w:ascii="宋体" w:hAnsi="宋体" w:cs="宋体"/>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PMingLiU">
    <w:altName w:val="Segoe Print"/>
    <w:panose1 w:val="00000000000000000000"/>
    <w:charset w:val="00"/>
    <w:family w:val="auto"/>
    <w:pitch w:val="default"/>
    <w:sig w:usb0="00000000" w:usb1="00000000" w:usb2="00000000" w:usb3="00000000" w:csb0="00000000"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AAE90"/>
    <w:multiLevelType w:val="singleLevel"/>
    <w:tmpl w:val="FDEAAE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539"/>
    <w:rsid w:val="00064CC6"/>
    <w:rsid w:val="00072BDB"/>
    <w:rsid w:val="000B4B4D"/>
    <w:rsid w:val="001E19BC"/>
    <w:rsid w:val="00205F81"/>
    <w:rsid w:val="00230159"/>
    <w:rsid w:val="002D7539"/>
    <w:rsid w:val="002F1D1C"/>
    <w:rsid w:val="003412FC"/>
    <w:rsid w:val="004037BD"/>
    <w:rsid w:val="00417DA7"/>
    <w:rsid w:val="004501A0"/>
    <w:rsid w:val="00454CEA"/>
    <w:rsid w:val="004822B5"/>
    <w:rsid w:val="00511570"/>
    <w:rsid w:val="005A5571"/>
    <w:rsid w:val="005A7995"/>
    <w:rsid w:val="005B5F88"/>
    <w:rsid w:val="0068062C"/>
    <w:rsid w:val="006975FB"/>
    <w:rsid w:val="006A5B09"/>
    <w:rsid w:val="00714C34"/>
    <w:rsid w:val="00716F06"/>
    <w:rsid w:val="007D7DC1"/>
    <w:rsid w:val="007E4072"/>
    <w:rsid w:val="008510A1"/>
    <w:rsid w:val="00896F15"/>
    <w:rsid w:val="00980237"/>
    <w:rsid w:val="009D6EF7"/>
    <w:rsid w:val="00A06C69"/>
    <w:rsid w:val="00A34251"/>
    <w:rsid w:val="00AB7707"/>
    <w:rsid w:val="00B05F98"/>
    <w:rsid w:val="00B62795"/>
    <w:rsid w:val="00B90245"/>
    <w:rsid w:val="00C3791A"/>
    <w:rsid w:val="00CF3BFB"/>
    <w:rsid w:val="00D04B5C"/>
    <w:rsid w:val="00D25A49"/>
    <w:rsid w:val="00D4286A"/>
    <w:rsid w:val="00D42902"/>
    <w:rsid w:val="00DF7D09"/>
    <w:rsid w:val="00EA2B69"/>
    <w:rsid w:val="00F81BF4"/>
    <w:rsid w:val="147835CA"/>
    <w:rsid w:val="17AA3A05"/>
    <w:rsid w:val="1C226050"/>
    <w:rsid w:val="1D976299"/>
    <w:rsid w:val="21AA4D6B"/>
    <w:rsid w:val="27E93D95"/>
    <w:rsid w:val="39590883"/>
    <w:rsid w:val="480F329E"/>
    <w:rsid w:val="5860518C"/>
    <w:rsid w:val="5C972ED8"/>
    <w:rsid w:val="5CD37A46"/>
    <w:rsid w:val="62712E97"/>
    <w:rsid w:val="71ED6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2"/>
    <w:basedOn w:val="1"/>
    <w:link w:val="7"/>
    <w:qFormat/>
    <w:uiPriority w:val="0"/>
    <w:pPr>
      <w:widowControl/>
      <w:jc w:val="center"/>
    </w:pPr>
    <w:rPr>
      <w:rFonts w:ascii="楷体_GB2312" w:eastAsia="楷体_GB2312"/>
      <w:sz w:val="2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2 Char"/>
    <w:basedOn w:val="6"/>
    <w:link w:val="2"/>
    <w:qFormat/>
    <w:uiPriority w:val="0"/>
    <w:rPr>
      <w:rFonts w:ascii="楷体_GB2312" w:hAnsi="Times New Roman" w:eastAsia="楷体_GB2312" w:cs="Times New Roman"/>
      <w:sz w:val="28"/>
      <w:szCs w:val="24"/>
    </w:rPr>
  </w:style>
  <w:style w:type="paragraph" w:customStyle="1" w:styleId="8">
    <w:name w:val="正文1"/>
    <w:basedOn w:val="1"/>
    <w:next w:val="1"/>
    <w:qFormat/>
    <w:uiPriority w:val="99"/>
    <w:pPr>
      <w:adjustRightInd w:val="0"/>
      <w:spacing w:line="360" w:lineRule="atLeast"/>
      <w:jc w:val="left"/>
      <w:textAlignment w:val="baseline"/>
    </w:pPr>
    <w:rPr>
      <w:rFonts w:ascii="宋体"/>
      <w:kern w:val="0"/>
      <w:sz w:val="24"/>
      <w:szCs w:val="20"/>
    </w:rPr>
  </w:style>
  <w:style w:type="character" w:customStyle="1" w:styleId="9">
    <w:name w:val="NormalCharacter"/>
    <w:qFormat/>
    <w:uiPriority w:val="99"/>
  </w:style>
  <w:style w:type="paragraph" w:customStyle="1" w:styleId="10">
    <w:name w:val="目录 11"/>
    <w:basedOn w:val="8"/>
    <w:next w:val="8"/>
    <w:qFormat/>
    <w:uiPriority w:val="0"/>
    <w:rPr>
      <w:rFonts w:cs="宋体"/>
      <w:szCs w:val="24"/>
    </w:rPr>
  </w:style>
  <w:style w:type="paragraph" w:styleId="11">
    <w:name w:val="List Paragraph"/>
    <w:basedOn w:val="1"/>
    <w:qFormat/>
    <w:uiPriority w:val="99"/>
    <w:pPr>
      <w:ind w:firstLine="420" w:firstLineChars="200"/>
    </w:pPr>
    <w:rPr>
      <w:szCs w:val="21"/>
    </w:rPr>
  </w:style>
  <w:style w:type="character" w:customStyle="1" w:styleId="12">
    <w:name w:val="页眉 Char"/>
    <w:basedOn w:val="6"/>
    <w:link w:val="4"/>
    <w:qFormat/>
    <w:uiPriority w:val="99"/>
    <w:rPr>
      <w:rFonts w:ascii="Times New Roman" w:hAnsi="Times New Roman" w:eastAsia="宋体" w:cs="Times New Roman"/>
      <w:sz w:val="18"/>
      <w:szCs w:val="18"/>
    </w:rPr>
  </w:style>
  <w:style w:type="character" w:customStyle="1" w:styleId="13">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4413</Words>
  <Characters>4629</Characters>
  <Lines>34</Lines>
  <Paragraphs>9</Paragraphs>
  <TotalTime>36</TotalTime>
  <ScaleCrop>false</ScaleCrop>
  <LinksUpToDate>false</LinksUpToDate>
  <CharactersWithSpaces>4663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2025-08-21T06:35:00Z</dcterms:created>
  <dc:creator>Administrator</dc:creator>
  <cp:lastModifiedBy>迷糊单</cp:lastModifiedBy>
  <cp:lastPrinted>2025-05-22T10:21:00Z</cp:lastPrinted>
  <dcterms:modified xsi:type="dcterms:W3CDTF">2025-08-27T00:23:32Z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eyJoZGlkIjoiOTc1ODM0ZGU4YmEwN2RjNDRlYzRmMzgzNzc1Y2QwZjkiLCJ1c2VySWQiOiI5ODI0NzI3MzEifQ==</vt:lpwstr>
  </property>
  <property fmtid="{D5CDD505-2E9C-101B-9397-08002B2CF9AE}" pid="3" name="KSOProductBuildVer">
    <vt:lpwstr>2052-12.1.0.21915</vt:lpwstr>
  </property>
  <property fmtid="{D5CDD505-2E9C-101B-9397-08002B2CF9AE}" pid="4" name="ICV">
    <vt:lpwstr>4D0CAB959A374D0BA2D9FF6EA24E529A_13</vt:lpwstr>
  </property>
</Properties>
</file>